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09A8" w14:textId="5A8A9FBD" w:rsidR="00184C85" w:rsidRPr="005B34DC" w:rsidRDefault="00184C85" w:rsidP="00E757FE">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
          <w:sz w:val="26"/>
          <w:szCs w:val="26"/>
          <w:lang w:val="en-GB"/>
        </w:rPr>
      </w:pPr>
      <w:r w:rsidRPr="005B34DC">
        <w:rPr>
          <w:b/>
          <w:sz w:val="26"/>
          <w:szCs w:val="26"/>
          <w:lang w:val="en-GB"/>
        </w:rPr>
        <w:t>The construction sector is stabili</w:t>
      </w:r>
      <w:r w:rsidR="005B34DC" w:rsidRPr="005B34DC">
        <w:rPr>
          <w:b/>
          <w:sz w:val="26"/>
          <w:szCs w:val="26"/>
          <w:lang w:val="en-GB"/>
        </w:rPr>
        <w:t>s</w:t>
      </w:r>
      <w:r w:rsidRPr="005B34DC">
        <w:rPr>
          <w:b/>
          <w:sz w:val="26"/>
          <w:szCs w:val="26"/>
          <w:lang w:val="en-GB"/>
        </w:rPr>
        <w:t xml:space="preserve">ing, but </w:t>
      </w:r>
      <w:r w:rsidR="000D4EF8" w:rsidRPr="005B34DC">
        <w:rPr>
          <w:b/>
          <w:sz w:val="26"/>
          <w:szCs w:val="26"/>
          <w:lang w:val="en-GB"/>
        </w:rPr>
        <w:t xml:space="preserve">not </w:t>
      </w:r>
      <w:r w:rsidR="00033521" w:rsidRPr="005B34DC">
        <w:rPr>
          <w:b/>
          <w:sz w:val="26"/>
          <w:szCs w:val="26"/>
          <w:lang w:val="en-GB"/>
        </w:rPr>
        <w:t xml:space="preserve">everywhere </w:t>
      </w:r>
      <w:r w:rsidR="000D4EF8" w:rsidRPr="005B34DC">
        <w:rPr>
          <w:b/>
          <w:sz w:val="26"/>
          <w:szCs w:val="26"/>
          <w:lang w:val="en-GB"/>
        </w:rPr>
        <w:t>at the same pace</w:t>
      </w:r>
      <w:r w:rsidR="00033521" w:rsidRPr="00033521">
        <w:rPr>
          <w:b/>
          <w:sz w:val="26"/>
          <w:szCs w:val="26"/>
          <w:lang w:val="en-GB"/>
        </w:rPr>
        <w:t xml:space="preserve"> </w:t>
      </w:r>
    </w:p>
    <w:p w14:paraId="262A342E" w14:textId="77777777" w:rsidR="00A819EA" w:rsidRPr="005B34DC" w:rsidRDefault="00A819EA" w:rsidP="00B46AEA">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sz w:val="16"/>
          <w:szCs w:val="16"/>
          <w:lang w:val="en-GB"/>
        </w:rPr>
      </w:pPr>
    </w:p>
    <w:p w14:paraId="5ED376FA" w14:textId="41D8CF76" w:rsidR="00184C85" w:rsidRPr="005B34DC" w:rsidRDefault="00223FEB" w:rsidP="00556048">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rPr>
          <w:b/>
          <w:bCs/>
          <w:sz w:val="20"/>
          <w:szCs w:val="20"/>
          <w:lang w:val="en-GB"/>
        </w:rPr>
      </w:pPr>
      <w:r w:rsidRPr="005B34DC">
        <w:rPr>
          <w:b/>
          <w:sz w:val="20"/>
          <w:szCs w:val="20"/>
          <w:lang w:val="en-GB"/>
        </w:rPr>
        <w:t>Rotterdam,</w:t>
      </w:r>
      <w:r w:rsidR="00A819EA" w:rsidRPr="005B34DC">
        <w:rPr>
          <w:b/>
          <w:sz w:val="20"/>
          <w:szCs w:val="20"/>
          <w:lang w:val="en-GB"/>
        </w:rPr>
        <w:t xml:space="preserve"> </w:t>
      </w:r>
      <w:r w:rsidR="00F05514">
        <w:rPr>
          <w:b/>
          <w:sz w:val="20"/>
          <w:szCs w:val="20"/>
          <w:lang w:val="en-GB"/>
        </w:rPr>
        <w:t>M</w:t>
      </w:r>
      <w:r w:rsidR="00184C85" w:rsidRPr="005B34DC">
        <w:rPr>
          <w:b/>
          <w:sz w:val="20"/>
          <w:szCs w:val="20"/>
          <w:lang w:val="en-GB"/>
        </w:rPr>
        <w:t xml:space="preserve">ay </w:t>
      </w:r>
      <w:r w:rsidR="000B4FD9" w:rsidRPr="005B34DC">
        <w:rPr>
          <w:b/>
          <w:sz w:val="20"/>
          <w:szCs w:val="20"/>
          <w:lang w:val="en-GB"/>
        </w:rPr>
        <w:t>4</w:t>
      </w:r>
      <w:r w:rsidRPr="005B34DC">
        <w:rPr>
          <w:sz w:val="20"/>
          <w:szCs w:val="20"/>
          <w:lang w:val="en-GB"/>
        </w:rPr>
        <w:t xml:space="preserve"> </w:t>
      </w:r>
      <w:r w:rsidR="000B4FD9" w:rsidRPr="005B34DC">
        <w:rPr>
          <w:b/>
          <w:sz w:val="20"/>
          <w:szCs w:val="20"/>
          <w:lang w:val="en-GB"/>
        </w:rPr>
        <w:t>2021</w:t>
      </w:r>
      <w:r w:rsidR="00AB70C8" w:rsidRPr="005B34DC">
        <w:rPr>
          <w:b/>
          <w:sz w:val="20"/>
          <w:szCs w:val="20"/>
          <w:lang w:val="en-GB"/>
        </w:rPr>
        <w:t xml:space="preserve"> –</w:t>
      </w:r>
      <w:r w:rsidR="003F364A" w:rsidRPr="005B34DC">
        <w:rPr>
          <w:b/>
          <w:bCs/>
          <w:sz w:val="20"/>
          <w:szCs w:val="20"/>
          <w:lang w:val="en-GB"/>
        </w:rPr>
        <w:t xml:space="preserve"> </w:t>
      </w:r>
      <w:r w:rsidR="00184C85" w:rsidRPr="005B34DC">
        <w:rPr>
          <w:b/>
          <w:bCs/>
          <w:sz w:val="20"/>
          <w:szCs w:val="20"/>
          <w:lang w:val="en-GB"/>
        </w:rPr>
        <w:t xml:space="preserve">The first lockdown, the one announced in March 2020, had a major impact on the construction sector in many European countries. Projects were postponed and in many countries it took months until the situation stabilized. According to the results of the Q1 2021 report of the European Architectural Barometer, a continual research by USP Marketing Consultancy among architectural firms in eight European countries, most countries have only just </w:t>
      </w:r>
      <w:r w:rsidR="00EF15EE" w:rsidRPr="005B34DC">
        <w:rPr>
          <w:b/>
          <w:bCs/>
          <w:sz w:val="20"/>
          <w:szCs w:val="20"/>
          <w:lang w:val="en-GB"/>
        </w:rPr>
        <w:t>returned to</w:t>
      </w:r>
      <w:r w:rsidR="00184C85" w:rsidRPr="005B34DC">
        <w:rPr>
          <w:b/>
          <w:bCs/>
          <w:sz w:val="20"/>
          <w:szCs w:val="20"/>
          <w:lang w:val="en-GB"/>
        </w:rPr>
        <w:t xml:space="preserve"> </w:t>
      </w:r>
      <w:r w:rsidR="00EF15EE" w:rsidRPr="005B34DC">
        <w:rPr>
          <w:b/>
          <w:bCs/>
          <w:sz w:val="20"/>
          <w:szCs w:val="20"/>
          <w:lang w:val="en-GB"/>
        </w:rPr>
        <w:t xml:space="preserve">the level they </w:t>
      </w:r>
      <w:r w:rsidR="00033521">
        <w:rPr>
          <w:b/>
          <w:bCs/>
          <w:sz w:val="20"/>
          <w:szCs w:val="20"/>
          <w:lang w:val="en-GB"/>
        </w:rPr>
        <w:t>were at</w:t>
      </w:r>
      <w:r w:rsidR="00EF15EE" w:rsidRPr="005B34DC">
        <w:rPr>
          <w:b/>
          <w:bCs/>
          <w:sz w:val="20"/>
          <w:szCs w:val="20"/>
          <w:lang w:val="en-GB"/>
        </w:rPr>
        <w:t xml:space="preserve"> before the lockdown. Aside from </w:t>
      </w:r>
      <w:r w:rsidR="005B34DC" w:rsidRPr="005B34DC">
        <w:rPr>
          <w:b/>
          <w:bCs/>
          <w:sz w:val="20"/>
          <w:szCs w:val="20"/>
          <w:lang w:val="en-GB"/>
        </w:rPr>
        <w:t>economic</w:t>
      </w:r>
      <w:r w:rsidR="00EF15EE" w:rsidRPr="005B34DC">
        <w:rPr>
          <w:b/>
          <w:bCs/>
          <w:sz w:val="20"/>
          <w:szCs w:val="20"/>
          <w:lang w:val="en-GB"/>
        </w:rPr>
        <w:t xml:space="preserve"> developments, this report provides insights in architects’ expectations of trends resulting from the corona pandemic. </w:t>
      </w:r>
    </w:p>
    <w:p w14:paraId="516FEB60" w14:textId="3BBDBA85" w:rsidR="00A819EA" w:rsidRPr="005B34DC" w:rsidRDefault="00A819EA" w:rsidP="00B46AEA">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
          <w:sz w:val="20"/>
          <w:szCs w:val="20"/>
          <w:lang w:val="en-GB"/>
        </w:rPr>
      </w:pPr>
    </w:p>
    <w:p w14:paraId="78A9592E" w14:textId="41F97EDC" w:rsidR="00315614" w:rsidRPr="005B34DC" w:rsidRDefault="00EF15EE" w:rsidP="00B46AEA">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
          <w:sz w:val="20"/>
          <w:szCs w:val="20"/>
          <w:lang w:val="en-GB"/>
        </w:rPr>
      </w:pPr>
      <w:r w:rsidRPr="005B34DC">
        <w:rPr>
          <w:b/>
          <w:sz w:val="20"/>
          <w:szCs w:val="20"/>
          <w:lang w:val="en-GB"/>
        </w:rPr>
        <w:t xml:space="preserve">March 2020 </w:t>
      </w:r>
      <w:r w:rsidR="00750F52" w:rsidRPr="005B34DC">
        <w:rPr>
          <w:b/>
          <w:sz w:val="20"/>
          <w:szCs w:val="20"/>
          <w:lang w:val="en-GB"/>
        </w:rPr>
        <w:t xml:space="preserve">Lockdown </w:t>
      </w:r>
      <w:r w:rsidRPr="005B34DC">
        <w:rPr>
          <w:b/>
          <w:sz w:val="20"/>
          <w:szCs w:val="20"/>
          <w:lang w:val="en-GB"/>
        </w:rPr>
        <w:t>turning point for construction volumes</w:t>
      </w:r>
    </w:p>
    <w:p w14:paraId="63F24A38" w14:textId="20D9F4C4" w:rsidR="000D4EF8" w:rsidRPr="005B34DC" w:rsidRDefault="000D4EF8" w:rsidP="00B46AEA">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Cs/>
          <w:sz w:val="20"/>
          <w:szCs w:val="20"/>
          <w:lang w:val="en-GB"/>
        </w:rPr>
      </w:pPr>
      <w:r w:rsidRPr="005B34DC">
        <w:rPr>
          <w:bCs/>
          <w:sz w:val="20"/>
          <w:szCs w:val="20"/>
          <w:lang w:val="en-GB"/>
        </w:rPr>
        <w:t xml:space="preserve">The lockdown </w:t>
      </w:r>
      <w:r w:rsidR="00033521">
        <w:rPr>
          <w:bCs/>
          <w:sz w:val="20"/>
          <w:szCs w:val="20"/>
          <w:lang w:val="en-GB"/>
        </w:rPr>
        <w:t>destroyed</w:t>
      </w:r>
      <w:r w:rsidRPr="005B34DC">
        <w:rPr>
          <w:bCs/>
          <w:sz w:val="20"/>
          <w:szCs w:val="20"/>
          <w:lang w:val="en-GB"/>
        </w:rPr>
        <w:t xml:space="preserve"> European architects’ optimism about their order books and expected turnover development. From March 2020, a direct extreme decline of construction volumes compared to the same month in the previous year was apparent especially in Belgium, France, Italy and the UK. This negative development continued</w:t>
      </w:r>
      <w:r w:rsidR="00C8250E" w:rsidRPr="005B34DC">
        <w:rPr>
          <w:bCs/>
          <w:sz w:val="20"/>
          <w:szCs w:val="20"/>
          <w:lang w:val="en-GB"/>
        </w:rPr>
        <w:t xml:space="preserve"> in </w:t>
      </w:r>
      <w:r w:rsidR="00033521">
        <w:rPr>
          <w:bCs/>
          <w:sz w:val="20"/>
          <w:szCs w:val="20"/>
          <w:lang w:val="en-GB"/>
        </w:rPr>
        <w:t>subsequent</w:t>
      </w:r>
      <w:r w:rsidR="00C8250E" w:rsidRPr="005B34DC">
        <w:rPr>
          <w:bCs/>
          <w:sz w:val="20"/>
          <w:szCs w:val="20"/>
          <w:lang w:val="en-GB"/>
        </w:rPr>
        <w:t xml:space="preserve"> months</w:t>
      </w:r>
      <w:r w:rsidRPr="005B34DC">
        <w:rPr>
          <w:bCs/>
          <w:sz w:val="20"/>
          <w:szCs w:val="20"/>
          <w:lang w:val="en-GB"/>
        </w:rPr>
        <w:t>.</w:t>
      </w:r>
      <w:r w:rsidR="00C8250E" w:rsidRPr="005B34DC">
        <w:rPr>
          <w:bCs/>
          <w:sz w:val="20"/>
          <w:szCs w:val="20"/>
          <w:lang w:val="en-GB"/>
        </w:rPr>
        <w:t xml:space="preserve"> In the Netherlands and Germany, however, developments were more or less stable the entire year. </w:t>
      </w:r>
      <w:r w:rsidR="00033521">
        <w:rPr>
          <w:bCs/>
          <w:sz w:val="20"/>
          <w:szCs w:val="20"/>
          <w:lang w:val="en-GB"/>
        </w:rPr>
        <w:t>And s</w:t>
      </w:r>
      <w:r w:rsidR="00C8250E" w:rsidRPr="005B34DC">
        <w:rPr>
          <w:bCs/>
          <w:sz w:val="20"/>
          <w:szCs w:val="20"/>
          <w:lang w:val="en-GB"/>
        </w:rPr>
        <w:t xml:space="preserve">lowly but steadily, </w:t>
      </w:r>
      <w:r w:rsidR="00033521">
        <w:rPr>
          <w:bCs/>
          <w:sz w:val="20"/>
          <w:szCs w:val="20"/>
          <w:lang w:val="en-GB"/>
        </w:rPr>
        <w:t>as the year progressed</w:t>
      </w:r>
      <w:r w:rsidR="00C8250E" w:rsidRPr="005B34DC">
        <w:rPr>
          <w:bCs/>
          <w:sz w:val="20"/>
          <w:szCs w:val="20"/>
          <w:lang w:val="en-GB"/>
        </w:rPr>
        <w:t xml:space="preserve">, construction volumes started to rise again in the hard-hit countries. In January 2021, construction volumes in most countries seem to have recovered. Except for in Germany and Poland,  construction volumes are at the level they were </w:t>
      </w:r>
      <w:r w:rsidR="00033521">
        <w:rPr>
          <w:bCs/>
          <w:sz w:val="20"/>
          <w:szCs w:val="20"/>
          <w:lang w:val="en-GB"/>
        </w:rPr>
        <w:t>the</w:t>
      </w:r>
      <w:r w:rsidR="00C8250E" w:rsidRPr="005B34DC">
        <w:rPr>
          <w:bCs/>
          <w:sz w:val="20"/>
          <w:szCs w:val="20"/>
          <w:lang w:val="en-GB"/>
        </w:rPr>
        <w:t xml:space="preserve"> year before.</w:t>
      </w:r>
    </w:p>
    <w:p w14:paraId="2690D9B8" w14:textId="77777777" w:rsidR="006C4B8A" w:rsidRPr="005B34DC" w:rsidRDefault="006C4B8A" w:rsidP="009A1480">
      <w:pPr>
        <w:rPr>
          <w:sz w:val="20"/>
          <w:szCs w:val="20"/>
          <w:lang w:val="en-GB"/>
        </w:rPr>
      </w:pPr>
    </w:p>
    <w:p w14:paraId="1DFD1E52" w14:textId="4D6430F2" w:rsidR="000174E9" w:rsidRPr="005B34DC" w:rsidRDefault="00857601" w:rsidP="009A1480">
      <w:pPr>
        <w:pBdr>
          <w:top w:val="single" w:sz="6" w:space="1" w:color="BCC6CB"/>
          <w:left w:val="single" w:sz="6" w:space="1" w:color="BCC6CB"/>
          <w:bottom w:val="single" w:sz="6" w:space="1" w:color="BCC6CB"/>
          <w:right w:val="single" w:sz="6" w:space="3" w:color="BCC6CB"/>
        </w:pBdr>
        <w:jc w:val="center"/>
        <w:rPr>
          <w:sz w:val="20"/>
          <w:szCs w:val="20"/>
          <w:lang w:val="en-GB"/>
        </w:rPr>
      </w:pPr>
      <w:r>
        <w:rPr>
          <w:sz w:val="20"/>
          <w:szCs w:val="20"/>
          <w:lang w:val="en-GB"/>
        </w:rPr>
        <w:t xml:space="preserve">Construction </w:t>
      </w:r>
      <w:r w:rsidR="009E6A73" w:rsidRPr="005B34DC">
        <w:rPr>
          <w:sz w:val="20"/>
          <w:szCs w:val="20"/>
          <w:lang w:val="en-GB"/>
        </w:rPr>
        <w:t xml:space="preserve">volumes (% </w:t>
      </w:r>
      <w:r>
        <w:rPr>
          <w:sz w:val="20"/>
          <w:szCs w:val="20"/>
          <w:lang w:val="en-GB"/>
        </w:rPr>
        <w:t>change</w:t>
      </w:r>
      <w:r w:rsidR="009E6A73" w:rsidRPr="005B34DC">
        <w:rPr>
          <w:sz w:val="20"/>
          <w:szCs w:val="20"/>
          <w:lang w:val="en-GB"/>
        </w:rPr>
        <w:t xml:space="preserve"> year-over-year)</w:t>
      </w:r>
    </w:p>
    <w:p w14:paraId="51950B91" w14:textId="77777777" w:rsidR="00F542F9" w:rsidRPr="005B34DC" w:rsidRDefault="00F542F9" w:rsidP="009A1480">
      <w:pPr>
        <w:pBdr>
          <w:top w:val="single" w:sz="6" w:space="1" w:color="BCC6CB"/>
          <w:left w:val="single" w:sz="6" w:space="1" w:color="BCC6CB"/>
          <w:bottom w:val="single" w:sz="6" w:space="1" w:color="BCC6CB"/>
          <w:right w:val="single" w:sz="6" w:space="3" w:color="BCC6CB"/>
        </w:pBdr>
        <w:jc w:val="center"/>
        <w:rPr>
          <w:sz w:val="20"/>
          <w:szCs w:val="20"/>
          <w:lang w:val="en-GB"/>
        </w:rPr>
      </w:pPr>
    </w:p>
    <w:p w14:paraId="09F95C51" w14:textId="18ABF636" w:rsidR="00CC70A5" w:rsidRPr="005B34DC" w:rsidRDefault="000B4FD9" w:rsidP="009A1480">
      <w:pPr>
        <w:pBdr>
          <w:top w:val="single" w:sz="6" w:space="1" w:color="BCC6CB"/>
          <w:left w:val="single" w:sz="6" w:space="1" w:color="BCC6CB"/>
          <w:bottom w:val="single" w:sz="6" w:space="1" w:color="BCC6CB"/>
          <w:right w:val="single" w:sz="6" w:space="3" w:color="BCC6CB"/>
        </w:pBdr>
        <w:jc w:val="center"/>
        <w:rPr>
          <w:sz w:val="20"/>
          <w:szCs w:val="20"/>
          <w:lang w:val="en-GB"/>
        </w:rPr>
      </w:pPr>
      <w:r w:rsidRPr="005B34DC">
        <w:rPr>
          <w:noProof/>
          <w:lang w:val="en-GB"/>
        </w:rPr>
        <w:drawing>
          <wp:inline distT="0" distB="0" distL="0" distR="0" wp14:anchorId="181141BF" wp14:editId="1E067E68">
            <wp:extent cx="5759450" cy="2239645"/>
            <wp:effectExtent l="0" t="0" r="0" b="8255"/>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pic:nvPicPr>
                  <pic:blipFill>
                    <a:blip r:embed="rId8"/>
                    <a:stretch>
                      <a:fillRect/>
                    </a:stretch>
                  </pic:blipFill>
                  <pic:spPr>
                    <a:xfrm>
                      <a:off x="0" y="0"/>
                      <a:ext cx="5759450" cy="2239645"/>
                    </a:xfrm>
                    <a:prstGeom prst="rect">
                      <a:avLst/>
                    </a:prstGeom>
                  </pic:spPr>
                </pic:pic>
              </a:graphicData>
            </a:graphic>
          </wp:inline>
        </w:drawing>
      </w:r>
    </w:p>
    <w:p w14:paraId="3E574167" w14:textId="77777777" w:rsidR="00A478E3" w:rsidRPr="005B34DC" w:rsidRDefault="00A478E3" w:rsidP="009A1480">
      <w:pPr>
        <w:pBdr>
          <w:top w:val="single" w:sz="6" w:space="1" w:color="BCC6CB"/>
          <w:left w:val="single" w:sz="6" w:space="1" w:color="BCC6CB"/>
          <w:bottom w:val="single" w:sz="6" w:space="1" w:color="BCC6CB"/>
          <w:right w:val="single" w:sz="6" w:space="3" w:color="BCC6CB"/>
        </w:pBdr>
        <w:jc w:val="center"/>
        <w:rPr>
          <w:sz w:val="20"/>
          <w:szCs w:val="20"/>
          <w:lang w:val="en-GB"/>
        </w:rPr>
      </w:pPr>
    </w:p>
    <w:p w14:paraId="7111CDB0" w14:textId="77777777" w:rsidR="00D9500C" w:rsidRPr="005B34DC" w:rsidRDefault="00D9500C" w:rsidP="009A1480">
      <w:pPr>
        <w:rPr>
          <w:i/>
          <w:iCs/>
          <w:color w:val="757F7F"/>
          <w:sz w:val="20"/>
          <w:szCs w:val="20"/>
          <w:lang w:val="en-GB"/>
        </w:rPr>
      </w:pPr>
    </w:p>
    <w:p w14:paraId="04955970" w14:textId="7BD7012F" w:rsidR="009A1480" w:rsidRPr="005B34DC" w:rsidRDefault="000B4FD9" w:rsidP="009A1480">
      <w:pPr>
        <w:rPr>
          <w:i/>
          <w:sz w:val="20"/>
          <w:szCs w:val="20"/>
          <w:lang w:val="en-GB"/>
        </w:rPr>
      </w:pPr>
      <w:r w:rsidRPr="005B34DC">
        <w:rPr>
          <w:i/>
          <w:iCs/>
          <w:color w:val="757F7F"/>
          <w:sz w:val="20"/>
          <w:szCs w:val="20"/>
          <w:lang w:val="en-GB"/>
        </w:rPr>
        <w:t>European Architectural Barometer Q1 2021</w:t>
      </w:r>
      <w:r w:rsidR="00556048" w:rsidRPr="005B34DC">
        <w:rPr>
          <w:i/>
          <w:iCs/>
          <w:color w:val="757F7F"/>
          <w:sz w:val="20"/>
          <w:szCs w:val="20"/>
          <w:lang w:val="en-GB"/>
        </w:rPr>
        <w:t xml:space="preserve"> – USP Marketing Consultancy</w:t>
      </w:r>
      <w:r w:rsidR="00941A40" w:rsidRPr="005B34DC">
        <w:rPr>
          <w:b/>
          <w:bCs/>
          <w:color w:val="757F7F"/>
          <w:sz w:val="20"/>
          <w:szCs w:val="20"/>
          <w:lang w:val="en-GB"/>
        </w:rPr>
        <w:br/>
      </w:r>
    </w:p>
    <w:p w14:paraId="04B7C625" w14:textId="77777777" w:rsidR="00C8250E" w:rsidRPr="005B34DC" w:rsidRDefault="00C8250E">
      <w:pPr>
        <w:rPr>
          <w:b/>
          <w:sz w:val="20"/>
          <w:szCs w:val="20"/>
          <w:lang w:val="en-GB"/>
        </w:rPr>
      </w:pPr>
      <w:r w:rsidRPr="005B34DC">
        <w:rPr>
          <w:b/>
          <w:sz w:val="20"/>
          <w:szCs w:val="20"/>
          <w:lang w:val="en-GB"/>
        </w:rPr>
        <w:br w:type="page"/>
      </w:r>
    </w:p>
    <w:p w14:paraId="228DFFEF" w14:textId="2D7C8241" w:rsidR="00C8250E" w:rsidRPr="005B34DC" w:rsidRDefault="00C8250E" w:rsidP="00D9500C">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
          <w:sz w:val="20"/>
          <w:szCs w:val="20"/>
          <w:lang w:val="en-GB"/>
        </w:rPr>
      </w:pPr>
      <w:r w:rsidRPr="005B34DC">
        <w:rPr>
          <w:b/>
          <w:sz w:val="20"/>
          <w:szCs w:val="20"/>
          <w:lang w:val="en-GB"/>
        </w:rPr>
        <w:lastRenderedPageBreak/>
        <w:t xml:space="preserve">Concerning </w:t>
      </w:r>
      <w:r w:rsidR="00F41E80" w:rsidRPr="005B34DC">
        <w:rPr>
          <w:b/>
          <w:sz w:val="20"/>
          <w:szCs w:val="20"/>
          <w:lang w:val="en-GB"/>
        </w:rPr>
        <w:t>status</w:t>
      </w:r>
      <w:r w:rsidRPr="005B34DC">
        <w:rPr>
          <w:b/>
          <w:sz w:val="20"/>
          <w:szCs w:val="20"/>
          <w:lang w:val="en-GB"/>
        </w:rPr>
        <w:t xml:space="preserve"> of building permits, slow recovery expected</w:t>
      </w:r>
    </w:p>
    <w:p w14:paraId="56FC7F83" w14:textId="16E85C4D" w:rsidR="00C8250E" w:rsidRPr="005B34DC" w:rsidRDefault="00C8250E" w:rsidP="00D9500C">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Cs/>
          <w:sz w:val="20"/>
          <w:szCs w:val="20"/>
          <w:lang w:val="en-GB"/>
        </w:rPr>
      </w:pPr>
      <w:r w:rsidRPr="005B34DC">
        <w:rPr>
          <w:bCs/>
          <w:sz w:val="20"/>
          <w:szCs w:val="20"/>
          <w:lang w:val="en-GB"/>
        </w:rPr>
        <w:t xml:space="preserve">Looking at the increased construction volumes in most countries in the last months of 2020, the European construction sector seems to be recovering after the hit in March </w:t>
      </w:r>
      <w:r w:rsidR="00F41E80" w:rsidRPr="005B34DC">
        <w:rPr>
          <w:bCs/>
          <w:sz w:val="20"/>
          <w:szCs w:val="20"/>
          <w:lang w:val="en-GB"/>
        </w:rPr>
        <w:t xml:space="preserve">that year. Most European architects are also experiencing positive developments of </w:t>
      </w:r>
      <w:r w:rsidR="00033521">
        <w:rPr>
          <w:bCs/>
          <w:sz w:val="20"/>
          <w:szCs w:val="20"/>
          <w:lang w:val="en-GB"/>
        </w:rPr>
        <w:t xml:space="preserve">their </w:t>
      </w:r>
      <w:r w:rsidR="00F41E80" w:rsidRPr="005B34DC">
        <w:rPr>
          <w:bCs/>
          <w:sz w:val="20"/>
          <w:szCs w:val="20"/>
          <w:lang w:val="en-GB"/>
        </w:rPr>
        <w:t xml:space="preserve">order books. Be that as it may, the corona pandemic has left its mark on the sector, as can be seen in the worrying state of the numbers of issued building permits. </w:t>
      </w:r>
      <w:r w:rsidR="0073388E" w:rsidRPr="005B34DC">
        <w:rPr>
          <w:bCs/>
          <w:sz w:val="20"/>
          <w:szCs w:val="20"/>
          <w:lang w:val="en-GB"/>
        </w:rPr>
        <w:t>In many countries, fewer permits have been issued than in the same period a year earlier, b</w:t>
      </w:r>
      <w:r w:rsidR="00F41E80" w:rsidRPr="005B34DC">
        <w:rPr>
          <w:bCs/>
          <w:sz w:val="20"/>
          <w:szCs w:val="20"/>
          <w:lang w:val="en-GB"/>
        </w:rPr>
        <w:t>oth in residential and non-residential construction</w:t>
      </w:r>
      <w:r w:rsidR="0073388E" w:rsidRPr="005B34DC">
        <w:rPr>
          <w:bCs/>
          <w:sz w:val="20"/>
          <w:szCs w:val="20"/>
          <w:lang w:val="en-GB"/>
        </w:rPr>
        <w:t>.</w:t>
      </w:r>
      <w:r w:rsidR="00F41E80" w:rsidRPr="005B34DC">
        <w:rPr>
          <w:bCs/>
          <w:sz w:val="20"/>
          <w:szCs w:val="20"/>
          <w:lang w:val="en-GB"/>
        </w:rPr>
        <w:t xml:space="preserve"> </w:t>
      </w:r>
      <w:r w:rsidR="00C902F5" w:rsidRPr="005B34DC">
        <w:rPr>
          <w:bCs/>
          <w:sz w:val="20"/>
          <w:szCs w:val="20"/>
          <w:lang w:val="en-GB"/>
        </w:rPr>
        <w:t xml:space="preserve">Standing out is Spain, where no improvement can be seen yet. This leaves few reasons to expect a fast recovery of the sector. </w:t>
      </w:r>
      <w:r w:rsidR="00F41E80" w:rsidRPr="005B34DC">
        <w:rPr>
          <w:bCs/>
          <w:sz w:val="20"/>
          <w:szCs w:val="20"/>
          <w:lang w:val="en-GB"/>
        </w:rPr>
        <w:t xml:space="preserve"> </w:t>
      </w:r>
    </w:p>
    <w:p w14:paraId="30016C9B" w14:textId="77777777" w:rsidR="00D9500C" w:rsidRPr="005B34DC" w:rsidRDefault="00D9500C" w:rsidP="00D9500C">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
          <w:sz w:val="20"/>
          <w:szCs w:val="20"/>
          <w:lang w:val="en-GB"/>
        </w:rPr>
      </w:pPr>
    </w:p>
    <w:p w14:paraId="72988D5A" w14:textId="77777777" w:rsidR="00771E5B" w:rsidRPr="005B34DC" w:rsidRDefault="00771E5B" w:rsidP="00771E5B">
      <w:pPr>
        <w:rPr>
          <w:sz w:val="20"/>
          <w:szCs w:val="20"/>
          <w:lang w:val="en-GB"/>
        </w:rPr>
      </w:pPr>
    </w:p>
    <w:p w14:paraId="6173AC9B" w14:textId="48C2C313" w:rsidR="00771E5B" w:rsidRPr="005B34DC" w:rsidRDefault="00FC785F" w:rsidP="00771E5B">
      <w:pPr>
        <w:pBdr>
          <w:top w:val="single" w:sz="6" w:space="1" w:color="BCC6CB"/>
          <w:left w:val="single" w:sz="6" w:space="1" w:color="BCC6CB"/>
          <w:bottom w:val="single" w:sz="6" w:space="1" w:color="BCC6CB"/>
          <w:right w:val="single" w:sz="6" w:space="3" w:color="BCC6CB"/>
        </w:pBdr>
        <w:jc w:val="center"/>
        <w:rPr>
          <w:sz w:val="20"/>
          <w:szCs w:val="20"/>
          <w:lang w:val="en-GB"/>
        </w:rPr>
      </w:pPr>
      <w:r w:rsidRPr="005B34DC">
        <w:rPr>
          <w:sz w:val="20"/>
          <w:szCs w:val="20"/>
          <w:lang w:val="en-GB"/>
        </w:rPr>
        <w:t>Issued building permits non-residential</w:t>
      </w:r>
      <w:r w:rsidR="009E6A73" w:rsidRPr="005B34DC">
        <w:rPr>
          <w:sz w:val="20"/>
          <w:szCs w:val="20"/>
          <w:lang w:val="en-GB"/>
        </w:rPr>
        <w:t xml:space="preserve"> (% </w:t>
      </w:r>
      <w:r w:rsidRPr="005B34DC">
        <w:rPr>
          <w:sz w:val="20"/>
          <w:szCs w:val="20"/>
          <w:lang w:val="en-GB"/>
        </w:rPr>
        <w:t>change</w:t>
      </w:r>
      <w:r w:rsidR="009E6A73" w:rsidRPr="005B34DC">
        <w:rPr>
          <w:sz w:val="20"/>
          <w:szCs w:val="20"/>
          <w:lang w:val="en-GB"/>
        </w:rPr>
        <w:t xml:space="preserve"> year-over-year)</w:t>
      </w:r>
    </w:p>
    <w:p w14:paraId="118E05E0" w14:textId="77777777" w:rsidR="00F542F9" w:rsidRPr="005B34DC" w:rsidRDefault="00F542F9" w:rsidP="00771E5B">
      <w:pPr>
        <w:pBdr>
          <w:top w:val="single" w:sz="6" w:space="1" w:color="BCC6CB"/>
          <w:left w:val="single" w:sz="6" w:space="1" w:color="BCC6CB"/>
          <w:bottom w:val="single" w:sz="6" w:space="1" w:color="BCC6CB"/>
          <w:right w:val="single" w:sz="6" w:space="3" w:color="BCC6CB"/>
        </w:pBdr>
        <w:jc w:val="center"/>
        <w:rPr>
          <w:sz w:val="20"/>
          <w:szCs w:val="20"/>
          <w:lang w:val="en-GB"/>
        </w:rPr>
      </w:pPr>
    </w:p>
    <w:p w14:paraId="2DB19A57" w14:textId="1AA89BFB" w:rsidR="00771E5B" w:rsidRPr="005B34DC" w:rsidRDefault="00237A4A" w:rsidP="00771E5B">
      <w:pPr>
        <w:pBdr>
          <w:top w:val="single" w:sz="6" w:space="1" w:color="BCC6CB"/>
          <w:left w:val="single" w:sz="6" w:space="1" w:color="BCC6CB"/>
          <w:bottom w:val="single" w:sz="6" w:space="1" w:color="BCC6CB"/>
          <w:right w:val="single" w:sz="6" w:space="3" w:color="BCC6CB"/>
        </w:pBdr>
        <w:jc w:val="center"/>
        <w:rPr>
          <w:sz w:val="20"/>
          <w:szCs w:val="20"/>
          <w:lang w:val="en-GB"/>
        </w:rPr>
      </w:pPr>
      <w:r w:rsidRPr="005B34DC">
        <w:rPr>
          <w:noProof/>
          <w:lang w:val="en-GB"/>
        </w:rPr>
        <w:drawing>
          <wp:inline distT="0" distB="0" distL="0" distR="0" wp14:anchorId="5174B41D" wp14:editId="41DDD9EB">
            <wp:extent cx="5759450" cy="1421130"/>
            <wp:effectExtent l="0" t="0" r="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1421130"/>
                    </a:xfrm>
                    <a:prstGeom prst="rect">
                      <a:avLst/>
                    </a:prstGeom>
                  </pic:spPr>
                </pic:pic>
              </a:graphicData>
            </a:graphic>
          </wp:inline>
        </w:drawing>
      </w:r>
    </w:p>
    <w:p w14:paraId="663AA353" w14:textId="5A673D5A" w:rsidR="00771E5B" w:rsidRPr="005B34DC" w:rsidRDefault="00771E5B" w:rsidP="00D9500C">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Cs/>
          <w:sz w:val="20"/>
          <w:szCs w:val="20"/>
          <w:lang w:val="en-GB"/>
        </w:rPr>
      </w:pPr>
    </w:p>
    <w:p w14:paraId="45A979FD" w14:textId="11B9C604" w:rsidR="00F542F9" w:rsidRPr="005B34DC" w:rsidRDefault="00F542F9" w:rsidP="00D9500C">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Cs/>
          <w:sz w:val="20"/>
          <w:szCs w:val="20"/>
          <w:lang w:val="en-GB"/>
        </w:rPr>
      </w:pPr>
      <w:r w:rsidRPr="005B34DC">
        <w:rPr>
          <w:i/>
          <w:iCs/>
          <w:color w:val="757F7F"/>
          <w:sz w:val="20"/>
          <w:szCs w:val="20"/>
          <w:lang w:val="en-GB"/>
        </w:rPr>
        <w:t>European Architectural Barometer Q1 2021 – USP Marketing Consultancy</w:t>
      </w:r>
    </w:p>
    <w:p w14:paraId="0F5F304C" w14:textId="77777777" w:rsidR="005C4F73" w:rsidRPr="005B34DC" w:rsidRDefault="005C4F73" w:rsidP="00223FEB">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sz w:val="20"/>
          <w:szCs w:val="20"/>
          <w:lang w:val="en-GB"/>
        </w:rPr>
      </w:pPr>
    </w:p>
    <w:p w14:paraId="4D47397E" w14:textId="63152EE3" w:rsidR="00DF5EA1" w:rsidRPr="005B34DC" w:rsidRDefault="00110C89" w:rsidP="00DF5EA1">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
          <w:sz w:val="20"/>
          <w:szCs w:val="20"/>
          <w:lang w:val="en-GB"/>
        </w:rPr>
      </w:pPr>
      <w:r w:rsidRPr="005B34DC">
        <w:rPr>
          <w:b/>
          <w:sz w:val="20"/>
          <w:szCs w:val="20"/>
          <w:lang w:val="en-GB"/>
        </w:rPr>
        <w:t xml:space="preserve">Expected developments due to COVID-19 </w:t>
      </w:r>
    </w:p>
    <w:p w14:paraId="183C0AB0" w14:textId="5FD0E7A7" w:rsidR="00D40FCF" w:rsidRPr="005B34DC" w:rsidRDefault="00110C89" w:rsidP="00DF5EA1">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Cs/>
          <w:sz w:val="20"/>
          <w:szCs w:val="20"/>
          <w:lang w:val="en-GB"/>
        </w:rPr>
      </w:pPr>
      <w:r w:rsidRPr="005B34DC">
        <w:rPr>
          <w:bCs/>
          <w:sz w:val="20"/>
          <w:szCs w:val="20"/>
          <w:lang w:val="en-GB"/>
        </w:rPr>
        <w:t xml:space="preserve">Also interesting to </w:t>
      </w:r>
      <w:r w:rsidR="00D40FCF" w:rsidRPr="005B34DC">
        <w:rPr>
          <w:bCs/>
          <w:sz w:val="20"/>
          <w:szCs w:val="20"/>
          <w:lang w:val="en-GB"/>
        </w:rPr>
        <w:t xml:space="preserve">highlight are architects’ expectations of trends caused by the corona pandemic. Architects expect big changes in the types of buildings developed over the coming years. A large share of architects expect fewer malls to be developed because consumers will </w:t>
      </w:r>
      <w:r w:rsidR="00033521" w:rsidRPr="005B34DC">
        <w:rPr>
          <w:bCs/>
          <w:sz w:val="20"/>
          <w:szCs w:val="20"/>
          <w:lang w:val="en-GB"/>
        </w:rPr>
        <w:t>more</w:t>
      </w:r>
      <w:r w:rsidR="00033521">
        <w:rPr>
          <w:bCs/>
          <w:sz w:val="20"/>
          <w:szCs w:val="20"/>
          <w:lang w:val="en-GB"/>
        </w:rPr>
        <w:t xml:space="preserve"> often</w:t>
      </w:r>
      <w:r w:rsidR="00033521" w:rsidRPr="005B34DC">
        <w:rPr>
          <w:bCs/>
          <w:sz w:val="20"/>
          <w:szCs w:val="20"/>
          <w:lang w:val="en-GB"/>
        </w:rPr>
        <w:t xml:space="preserve"> </w:t>
      </w:r>
      <w:r w:rsidR="00D40FCF" w:rsidRPr="005B34DC">
        <w:rPr>
          <w:bCs/>
          <w:sz w:val="20"/>
          <w:szCs w:val="20"/>
          <w:lang w:val="en-GB"/>
        </w:rPr>
        <w:t xml:space="preserve">shop online, for example. The majority also expects a decline of office buildings because more and more people will keep working from home. Demand for residential construction will remain stable in most countries, but COVID-19 will leave its mark especially on the non-residential sector. </w:t>
      </w:r>
    </w:p>
    <w:p w14:paraId="40756C0B" w14:textId="396AF25B" w:rsidR="00DF5EA1" w:rsidRPr="005B34DC" w:rsidRDefault="00DF5EA1" w:rsidP="00DF5EA1">
      <w:pPr>
        <w:rPr>
          <w:sz w:val="20"/>
          <w:szCs w:val="20"/>
          <w:lang w:val="en-GB"/>
        </w:rPr>
      </w:pPr>
    </w:p>
    <w:p w14:paraId="73BEB098" w14:textId="293E0694" w:rsidR="00DF5EA1" w:rsidRPr="005B34DC" w:rsidRDefault="00623CD2" w:rsidP="00DF5EA1">
      <w:pPr>
        <w:pBdr>
          <w:top w:val="single" w:sz="6" w:space="1" w:color="BCC6CB"/>
          <w:left w:val="single" w:sz="6" w:space="1" w:color="BCC6CB"/>
          <w:bottom w:val="single" w:sz="6" w:space="1" w:color="BCC6CB"/>
          <w:right w:val="single" w:sz="6" w:space="3" w:color="BCC6CB"/>
        </w:pBdr>
        <w:jc w:val="center"/>
        <w:rPr>
          <w:sz w:val="20"/>
          <w:szCs w:val="20"/>
          <w:lang w:val="en-GB"/>
        </w:rPr>
      </w:pPr>
      <w:r w:rsidRPr="005B34DC">
        <w:rPr>
          <w:sz w:val="20"/>
          <w:szCs w:val="20"/>
          <w:lang w:val="en-GB"/>
        </w:rPr>
        <w:t>Expected trends based on statement</w:t>
      </w:r>
      <w:r w:rsidR="00DF5EA1" w:rsidRPr="005B34DC">
        <w:rPr>
          <w:sz w:val="20"/>
          <w:szCs w:val="20"/>
          <w:lang w:val="en-GB"/>
        </w:rPr>
        <w:t xml:space="preserve"> (</w:t>
      </w:r>
      <w:r w:rsidR="00F542F9" w:rsidRPr="005B34DC">
        <w:rPr>
          <w:sz w:val="20"/>
          <w:szCs w:val="20"/>
          <w:lang w:val="en-GB"/>
        </w:rPr>
        <w:t xml:space="preserve">net </w:t>
      </w:r>
      <w:r w:rsidR="00DF5EA1" w:rsidRPr="005B34DC">
        <w:rPr>
          <w:sz w:val="20"/>
          <w:szCs w:val="20"/>
          <w:lang w:val="en-GB"/>
        </w:rPr>
        <w:t>%</w:t>
      </w:r>
      <w:r w:rsidR="00F542F9" w:rsidRPr="005B34DC">
        <w:rPr>
          <w:sz w:val="20"/>
          <w:szCs w:val="20"/>
          <w:lang w:val="en-GB"/>
        </w:rPr>
        <w:t xml:space="preserve"> (</w:t>
      </w:r>
      <w:r w:rsidRPr="005B34DC">
        <w:rPr>
          <w:sz w:val="20"/>
          <w:szCs w:val="20"/>
          <w:lang w:val="en-GB"/>
        </w:rPr>
        <w:t>very</w:t>
      </w:r>
      <w:r w:rsidR="00DF5EA1" w:rsidRPr="005B34DC">
        <w:rPr>
          <w:sz w:val="20"/>
          <w:szCs w:val="20"/>
          <w:lang w:val="en-GB"/>
        </w:rPr>
        <w:t>)</w:t>
      </w:r>
      <w:r w:rsidR="00F542F9" w:rsidRPr="005B34DC">
        <w:rPr>
          <w:sz w:val="20"/>
          <w:szCs w:val="20"/>
          <w:lang w:val="en-GB"/>
        </w:rPr>
        <w:t xml:space="preserve"> </w:t>
      </w:r>
      <w:r w:rsidRPr="005B34DC">
        <w:rPr>
          <w:sz w:val="20"/>
          <w:szCs w:val="20"/>
          <w:lang w:val="en-GB"/>
        </w:rPr>
        <w:t>positive</w:t>
      </w:r>
      <w:r w:rsidR="00F542F9" w:rsidRPr="005B34DC">
        <w:rPr>
          <w:sz w:val="20"/>
          <w:szCs w:val="20"/>
          <w:lang w:val="en-GB"/>
        </w:rPr>
        <w:t xml:space="preserve"> minus (</w:t>
      </w:r>
      <w:r w:rsidRPr="005B34DC">
        <w:rPr>
          <w:sz w:val="20"/>
          <w:szCs w:val="20"/>
          <w:lang w:val="en-GB"/>
        </w:rPr>
        <w:t>very</w:t>
      </w:r>
      <w:r w:rsidR="00F542F9" w:rsidRPr="005B34DC">
        <w:rPr>
          <w:sz w:val="20"/>
          <w:szCs w:val="20"/>
          <w:lang w:val="en-GB"/>
        </w:rPr>
        <w:t xml:space="preserve">) </w:t>
      </w:r>
      <w:r w:rsidRPr="005B34DC">
        <w:rPr>
          <w:sz w:val="20"/>
          <w:szCs w:val="20"/>
          <w:lang w:val="en-GB"/>
        </w:rPr>
        <w:t>negative</w:t>
      </w:r>
      <w:r w:rsidR="00F542F9" w:rsidRPr="005B34DC">
        <w:rPr>
          <w:sz w:val="20"/>
          <w:szCs w:val="20"/>
          <w:lang w:val="en-GB"/>
        </w:rPr>
        <w:t>)</w:t>
      </w:r>
    </w:p>
    <w:p w14:paraId="39F8D352" w14:textId="77777777" w:rsidR="00F542F9" w:rsidRPr="005B34DC" w:rsidRDefault="00F542F9" w:rsidP="00DF5EA1">
      <w:pPr>
        <w:pBdr>
          <w:top w:val="single" w:sz="6" w:space="1" w:color="BCC6CB"/>
          <w:left w:val="single" w:sz="6" w:space="1" w:color="BCC6CB"/>
          <w:bottom w:val="single" w:sz="6" w:space="1" w:color="BCC6CB"/>
          <w:right w:val="single" w:sz="6" w:space="3" w:color="BCC6CB"/>
        </w:pBdr>
        <w:jc w:val="center"/>
        <w:rPr>
          <w:sz w:val="20"/>
          <w:szCs w:val="20"/>
          <w:lang w:val="en-GB"/>
        </w:rPr>
      </w:pPr>
    </w:p>
    <w:p w14:paraId="7589A5CF" w14:textId="18EC89BC" w:rsidR="00DF5EA1" w:rsidRPr="005B34DC" w:rsidRDefault="007F77C7" w:rsidP="00DF5EA1">
      <w:pPr>
        <w:pBdr>
          <w:top w:val="single" w:sz="6" w:space="1" w:color="BCC6CB"/>
          <w:left w:val="single" w:sz="6" w:space="1" w:color="BCC6CB"/>
          <w:bottom w:val="single" w:sz="6" w:space="1" w:color="BCC6CB"/>
          <w:right w:val="single" w:sz="6" w:space="3" w:color="BCC6CB"/>
        </w:pBdr>
        <w:jc w:val="center"/>
        <w:rPr>
          <w:sz w:val="20"/>
          <w:szCs w:val="20"/>
          <w:lang w:val="en-GB"/>
        </w:rPr>
      </w:pPr>
      <w:r w:rsidRPr="005B34DC">
        <w:rPr>
          <w:noProof/>
          <w:lang w:val="en-GB"/>
        </w:rPr>
        <w:drawing>
          <wp:inline distT="0" distB="0" distL="0" distR="0" wp14:anchorId="456CA991" wp14:editId="52F3A36E">
            <wp:extent cx="5759450" cy="123888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1238885"/>
                    </a:xfrm>
                    <a:prstGeom prst="rect">
                      <a:avLst/>
                    </a:prstGeom>
                  </pic:spPr>
                </pic:pic>
              </a:graphicData>
            </a:graphic>
          </wp:inline>
        </w:drawing>
      </w:r>
    </w:p>
    <w:p w14:paraId="3CAAFA4C" w14:textId="77777777" w:rsidR="00DF5EA1" w:rsidRPr="005B34DC" w:rsidRDefault="00DF5EA1" w:rsidP="00DF5EA1">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Cs/>
          <w:sz w:val="20"/>
          <w:szCs w:val="20"/>
          <w:lang w:val="en-GB"/>
        </w:rPr>
      </w:pPr>
    </w:p>
    <w:p w14:paraId="603D28EA" w14:textId="33FB9246" w:rsidR="007219A5" w:rsidRPr="005B34DC" w:rsidRDefault="00F542F9" w:rsidP="00223FEB">
      <w:pPr>
        <w:spacing w:line="360" w:lineRule="auto"/>
        <w:rPr>
          <w:bCs/>
          <w:sz w:val="20"/>
          <w:szCs w:val="20"/>
          <w:lang w:val="en-GB"/>
        </w:rPr>
      </w:pPr>
      <w:r w:rsidRPr="005B34DC">
        <w:rPr>
          <w:i/>
          <w:iCs/>
          <w:color w:val="757F7F"/>
          <w:sz w:val="20"/>
          <w:szCs w:val="20"/>
          <w:lang w:val="en-GB"/>
        </w:rPr>
        <w:t>European Architectural Barometer Q1 2021 – USP Marketing Consultancy</w:t>
      </w:r>
    </w:p>
    <w:p w14:paraId="283990DB" w14:textId="298874A5" w:rsidR="007219A5" w:rsidRPr="005B34DC" w:rsidRDefault="007219A5" w:rsidP="00223FEB">
      <w:pPr>
        <w:spacing w:line="360" w:lineRule="auto"/>
        <w:rPr>
          <w:b/>
          <w:i/>
          <w:iCs/>
          <w:color w:val="808080" w:themeColor="background1" w:themeShade="80"/>
          <w:sz w:val="20"/>
          <w:szCs w:val="20"/>
          <w:lang w:val="en-GB"/>
        </w:rPr>
      </w:pPr>
    </w:p>
    <w:p w14:paraId="2F9F407C" w14:textId="77777777" w:rsidR="00785648" w:rsidRPr="00F05514" w:rsidRDefault="00785648" w:rsidP="00F826B7">
      <w:pPr>
        <w:spacing w:line="360" w:lineRule="auto"/>
        <w:rPr>
          <w:b/>
          <w:i/>
          <w:iCs/>
          <w:color w:val="808080" w:themeColor="background1" w:themeShade="80"/>
          <w:sz w:val="20"/>
          <w:szCs w:val="20"/>
          <w:lang w:val="en-GB"/>
        </w:rPr>
      </w:pPr>
    </w:p>
    <w:p w14:paraId="52BD0EFA" w14:textId="4762AD4D" w:rsidR="00F826B7" w:rsidRPr="008812D0" w:rsidRDefault="00F826B7" w:rsidP="00F826B7">
      <w:pPr>
        <w:spacing w:line="360" w:lineRule="auto"/>
        <w:rPr>
          <w:b/>
          <w:i/>
          <w:iCs/>
          <w:color w:val="808080" w:themeColor="background1" w:themeShade="80"/>
          <w:sz w:val="20"/>
          <w:szCs w:val="20"/>
          <w:lang w:val="en-GB"/>
        </w:rPr>
      </w:pPr>
      <w:r w:rsidRPr="008812D0">
        <w:rPr>
          <w:b/>
          <w:i/>
          <w:iCs/>
          <w:color w:val="808080" w:themeColor="background1" w:themeShade="80"/>
          <w:sz w:val="20"/>
          <w:szCs w:val="20"/>
          <w:lang w:val="en-GB"/>
        </w:rPr>
        <w:lastRenderedPageBreak/>
        <w:t>About USP Marketing Consultancy</w:t>
      </w:r>
    </w:p>
    <w:p w14:paraId="39F47FB0" w14:textId="77777777" w:rsidR="00F826B7" w:rsidRDefault="00F826B7" w:rsidP="00F826B7">
      <w:pPr>
        <w:pBdr>
          <w:bottom w:val="single" w:sz="6" w:space="1" w:color="auto"/>
        </w:pBdr>
        <w:spacing w:line="360" w:lineRule="auto"/>
        <w:rPr>
          <w:bCs/>
          <w:i/>
          <w:iCs/>
          <w:color w:val="808080" w:themeColor="background1" w:themeShade="80"/>
          <w:sz w:val="20"/>
          <w:szCs w:val="20"/>
          <w:lang w:val="en-GB"/>
        </w:rPr>
      </w:pPr>
      <w:r w:rsidRPr="008812D0">
        <w:rPr>
          <w:bCs/>
          <w:i/>
          <w:iCs/>
          <w:color w:val="808080" w:themeColor="background1" w:themeShade="80"/>
          <w:sz w:val="20"/>
          <w:szCs w:val="20"/>
          <w:lang w:val="en-GB"/>
        </w:rPr>
        <w:t>USP Marketing Consultancy is a leading international market research agency that is specialized in the construction, installation and DIY sector for over 25 years. USP Marketing Consultancy works for internationally renowned companies, such as AkzoNobel, Philips, Grohe, Forbo, etc. Our clients often have pan-European questions about their brand awareness, customer journeys, market opportunities, e-commerce trends and other research needs. USP Marketing Consultancy delivers the insights to make decisions and acts as a marketing advisor for its clients.</w:t>
      </w:r>
    </w:p>
    <w:p w14:paraId="1F129690" w14:textId="1DCC534C" w:rsidR="00223FEB" w:rsidRPr="00F826B7" w:rsidRDefault="00223FEB" w:rsidP="00223FEB">
      <w:pPr>
        <w:pBdr>
          <w:bottom w:val="single" w:sz="6" w:space="1" w:color="auto"/>
        </w:pBdr>
        <w:spacing w:line="360" w:lineRule="auto"/>
        <w:rPr>
          <w:sz w:val="20"/>
          <w:szCs w:val="20"/>
          <w:lang w:val="en-GB"/>
        </w:rPr>
      </w:pPr>
    </w:p>
    <w:p w14:paraId="6DA5A607" w14:textId="77777777" w:rsidR="00FC40D4" w:rsidRPr="00F826B7" w:rsidRDefault="00FC40D4" w:rsidP="00223FEB">
      <w:pPr>
        <w:spacing w:line="360" w:lineRule="auto"/>
        <w:rPr>
          <w:sz w:val="20"/>
          <w:szCs w:val="20"/>
          <w:lang w:val="en-GB"/>
        </w:rPr>
      </w:pPr>
    </w:p>
    <w:p w14:paraId="08F9B1E9" w14:textId="3EC75C38" w:rsidR="00996142" w:rsidRPr="00920246" w:rsidRDefault="00996142" w:rsidP="00223FEB">
      <w:pPr>
        <w:spacing w:line="360" w:lineRule="auto"/>
        <w:rPr>
          <w:b/>
          <w:bCs/>
          <w:sz w:val="20"/>
          <w:szCs w:val="20"/>
          <w:lang w:val="en-GB"/>
        </w:rPr>
      </w:pPr>
      <w:r w:rsidRPr="00920246">
        <w:rPr>
          <w:b/>
          <w:bCs/>
          <w:sz w:val="20"/>
          <w:szCs w:val="20"/>
          <w:lang w:val="en-GB"/>
        </w:rPr>
        <w:t xml:space="preserve">Noot </w:t>
      </w:r>
      <w:r w:rsidR="00920246" w:rsidRPr="00920246">
        <w:rPr>
          <w:b/>
          <w:bCs/>
          <w:sz w:val="20"/>
          <w:szCs w:val="20"/>
          <w:lang w:val="en-GB"/>
        </w:rPr>
        <w:t>for editors</w:t>
      </w:r>
    </w:p>
    <w:p w14:paraId="0FDFC03D" w14:textId="6C4E4471" w:rsidR="005460C6" w:rsidRPr="00920246" w:rsidRDefault="00920246" w:rsidP="005460C6">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bCs/>
          <w:sz w:val="20"/>
          <w:szCs w:val="20"/>
          <w:lang w:val="en-GB"/>
        </w:rPr>
      </w:pPr>
      <w:r w:rsidRPr="008812D0">
        <w:rPr>
          <w:bCs/>
          <w:sz w:val="20"/>
          <w:szCs w:val="20"/>
          <w:lang w:val="en-GB"/>
        </w:rPr>
        <w:t>For more information</w:t>
      </w:r>
      <w:r>
        <w:rPr>
          <w:bCs/>
          <w:sz w:val="20"/>
          <w:szCs w:val="20"/>
          <w:lang w:val="en-GB"/>
        </w:rPr>
        <w:t>, please contact</w:t>
      </w:r>
      <w:r w:rsidR="005460C6" w:rsidRPr="00920246">
        <w:rPr>
          <w:bCs/>
          <w:sz w:val="20"/>
          <w:szCs w:val="20"/>
          <w:lang w:val="en-GB"/>
        </w:rPr>
        <w:t xml:space="preserve"> </w:t>
      </w:r>
      <w:r w:rsidR="00F542F9" w:rsidRPr="00920246">
        <w:rPr>
          <w:bCs/>
          <w:sz w:val="20"/>
          <w:szCs w:val="20"/>
          <w:lang w:val="en-GB"/>
        </w:rPr>
        <w:t>Jeroen de Gruijl</w:t>
      </w:r>
      <w:r w:rsidR="005460C6" w:rsidRPr="00920246">
        <w:rPr>
          <w:bCs/>
          <w:sz w:val="20"/>
          <w:szCs w:val="20"/>
          <w:lang w:val="en-GB"/>
        </w:rPr>
        <w:t xml:space="preserve"> </w:t>
      </w:r>
      <w:r>
        <w:rPr>
          <w:bCs/>
          <w:sz w:val="20"/>
          <w:szCs w:val="20"/>
          <w:lang w:val="en-GB"/>
        </w:rPr>
        <w:t>of</w:t>
      </w:r>
      <w:r w:rsidR="005460C6" w:rsidRPr="00920246">
        <w:rPr>
          <w:bCs/>
          <w:sz w:val="20"/>
          <w:szCs w:val="20"/>
          <w:lang w:val="en-GB"/>
        </w:rPr>
        <w:t xml:space="preserve"> USP Marketing Consultancy, </w:t>
      </w:r>
      <w:r>
        <w:rPr>
          <w:bCs/>
          <w:sz w:val="20"/>
          <w:szCs w:val="20"/>
          <w:lang w:val="en-GB"/>
        </w:rPr>
        <w:t>via</w:t>
      </w:r>
      <w:r w:rsidR="005460C6" w:rsidRPr="00920246">
        <w:rPr>
          <w:bCs/>
          <w:sz w:val="20"/>
          <w:szCs w:val="20"/>
          <w:lang w:val="en-GB"/>
        </w:rPr>
        <w:t xml:space="preserve"> +</w:t>
      </w:r>
      <w:r w:rsidR="003F364A" w:rsidRPr="00920246">
        <w:rPr>
          <w:lang w:val="en-GB"/>
        </w:rPr>
        <w:t xml:space="preserve"> </w:t>
      </w:r>
      <w:r w:rsidR="003F364A" w:rsidRPr="00920246">
        <w:rPr>
          <w:bCs/>
          <w:sz w:val="20"/>
          <w:szCs w:val="20"/>
          <w:lang w:val="en-GB"/>
        </w:rPr>
        <w:t xml:space="preserve">31 6 83979041 </w:t>
      </w:r>
      <w:r>
        <w:rPr>
          <w:bCs/>
          <w:sz w:val="20"/>
          <w:szCs w:val="20"/>
          <w:lang w:val="en-GB"/>
        </w:rPr>
        <w:t>or</w:t>
      </w:r>
      <w:r w:rsidR="005460C6" w:rsidRPr="00920246">
        <w:rPr>
          <w:bCs/>
          <w:sz w:val="20"/>
          <w:szCs w:val="20"/>
          <w:lang w:val="en-GB"/>
        </w:rPr>
        <w:t xml:space="preserve"> </w:t>
      </w:r>
      <w:hyperlink r:id="rId11" w:history="1">
        <w:r w:rsidR="003F364A" w:rsidRPr="00920246">
          <w:rPr>
            <w:rStyle w:val="Hyperlink"/>
            <w:sz w:val="20"/>
            <w:szCs w:val="20"/>
            <w:lang w:val="en-GB"/>
          </w:rPr>
          <w:t>deGruijl@usp-mc.nl</w:t>
        </w:r>
      </w:hyperlink>
      <w:r w:rsidR="003F364A" w:rsidRPr="00920246">
        <w:rPr>
          <w:sz w:val="20"/>
          <w:szCs w:val="20"/>
          <w:lang w:val="en-GB"/>
        </w:rPr>
        <w:t xml:space="preserve"> </w:t>
      </w:r>
    </w:p>
    <w:p w14:paraId="5684AE93" w14:textId="77777777" w:rsidR="00996142" w:rsidRPr="00920246" w:rsidRDefault="00996142" w:rsidP="00996142">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lang w:val="en-GB"/>
        </w:rPr>
      </w:pPr>
    </w:p>
    <w:p w14:paraId="0463CC08" w14:textId="79F029E6" w:rsidR="00DB6F2E" w:rsidRPr="00920246" w:rsidRDefault="00DB6F2E" w:rsidP="00DB6F2E">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lang w:val="en-GB"/>
        </w:rPr>
      </w:pPr>
      <w:r w:rsidRPr="00920246">
        <w:rPr>
          <w:sz w:val="20"/>
          <w:szCs w:val="20"/>
          <w:lang w:val="en-GB"/>
        </w:rPr>
        <w:t>W</w:t>
      </w:r>
      <w:r w:rsidR="00920246" w:rsidRPr="00920246">
        <w:rPr>
          <w:sz w:val="20"/>
          <w:szCs w:val="20"/>
          <w:lang w:val="en-GB"/>
        </w:rPr>
        <w:t>hen you publish</w:t>
      </w:r>
      <w:r w:rsidRPr="00920246">
        <w:rPr>
          <w:sz w:val="20"/>
          <w:szCs w:val="20"/>
          <w:lang w:val="en-GB"/>
        </w:rPr>
        <w:t xml:space="preserve"> (</w:t>
      </w:r>
      <w:r w:rsidR="00920246" w:rsidRPr="00920246">
        <w:rPr>
          <w:sz w:val="20"/>
          <w:szCs w:val="20"/>
          <w:lang w:val="en-GB"/>
        </w:rPr>
        <w:t>parts of</w:t>
      </w:r>
      <w:r w:rsidRPr="00920246">
        <w:rPr>
          <w:sz w:val="20"/>
          <w:szCs w:val="20"/>
          <w:lang w:val="en-GB"/>
        </w:rPr>
        <w:t xml:space="preserve">) </w:t>
      </w:r>
      <w:r w:rsidR="00920246" w:rsidRPr="00920246">
        <w:rPr>
          <w:sz w:val="20"/>
          <w:szCs w:val="20"/>
          <w:lang w:val="en-GB"/>
        </w:rPr>
        <w:t>t</w:t>
      </w:r>
      <w:r w:rsidR="00920246">
        <w:rPr>
          <w:sz w:val="20"/>
          <w:szCs w:val="20"/>
          <w:lang w:val="en-GB"/>
        </w:rPr>
        <w:t>his press release, we would like to receive a copy. Please send it to:</w:t>
      </w:r>
    </w:p>
    <w:p w14:paraId="0397065B" w14:textId="77777777" w:rsidR="00DB6F2E" w:rsidRPr="00F05514" w:rsidRDefault="00DB6F2E" w:rsidP="00DB6F2E">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lang w:val="en-GB"/>
        </w:rPr>
      </w:pPr>
      <w:r w:rsidRPr="00F05514">
        <w:rPr>
          <w:sz w:val="20"/>
          <w:szCs w:val="20"/>
          <w:lang w:val="en-GB"/>
        </w:rPr>
        <w:t>USP Marketing Consultancy</w:t>
      </w:r>
    </w:p>
    <w:p w14:paraId="53DB946B" w14:textId="0883D296" w:rsidR="00DB6F2E" w:rsidRPr="00F05514" w:rsidRDefault="003F364A" w:rsidP="00DB6F2E">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lang w:val="en-GB"/>
        </w:rPr>
      </w:pPr>
      <w:r w:rsidRPr="00F05514">
        <w:rPr>
          <w:sz w:val="20"/>
          <w:szCs w:val="20"/>
          <w:lang w:val="en-GB"/>
        </w:rPr>
        <w:t>Jeroen de Gruijl</w:t>
      </w:r>
    </w:p>
    <w:p w14:paraId="29D9B207" w14:textId="77777777" w:rsidR="00DB6F2E" w:rsidRPr="00F05514" w:rsidRDefault="00DB6F2E" w:rsidP="00DB6F2E">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lang w:val="en-GB"/>
        </w:rPr>
      </w:pPr>
      <w:r w:rsidRPr="00F05514">
        <w:rPr>
          <w:sz w:val="20"/>
          <w:szCs w:val="20"/>
          <w:lang w:val="en-GB"/>
        </w:rPr>
        <w:t xml:space="preserve">Max </w:t>
      </w:r>
      <w:proofErr w:type="spellStart"/>
      <w:r w:rsidRPr="00F05514">
        <w:rPr>
          <w:sz w:val="20"/>
          <w:szCs w:val="20"/>
          <w:lang w:val="en-GB"/>
        </w:rPr>
        <w:t>Euwelaan</w:t>
      </w:r>
      <w:proofErr w:type="spellEnd"/>
      <w:r w:rsidRPr="00F05514">
        <w:rPr>
          <w:sz w:val="20"/>
          <w:szCs w:val="20"/>
          <w:lang w:val="en-GB"/>
        </w:rPr>
        <w:t xml:space="preserve"> 51</w:t>
      </w:r>
    </w:p>
    <w:p w14:paraId="1F8F7243" w14:textId="77777777" w:rsidR="00DB6F2E" w:rsidRPr="005B34DC" w:rsidRDefault="00DB6F2E" w:rsidP="00DB6F2E">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rPr>
      </w:pPr>
      <w:r w:rsidRPr="005B34DC">
        <w:rPr>
          <w:sz w:val="20"/>
          <w:szCs w:val="20"/>
        </w:rPr>
        <w:t xml:space="preserve">3062 MA Rotterdam </w:t>
      </w:r>
    </w:p>
    <w:p w14:paraId="195BC765" w14:textId="223221A0" w:rsidR="00771E5B" w:rsidRPr="005B34DC" w:rsidRDefault="00F05514" w:rsidP="00DB6F2E">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rPr>
      </w:pPr>
      <w:hyperlink r:id="rId12" w:history="1">
        <w:r w:rsidR="003F364A" w:rsidRPr="005B34DC">
          <w:rPr>
            <w:rStyle w:val="Hyperlink"/>
            <w:sz w:val="20"/>
            <w:szCs w:val="20"/>
          </w:rPr>
          <w:t>deGruijl@usp-mc.nl</w:t>
        </w:r>
      </w:hyperlink>
    </w:p>
    <w:p w14:paraId="58652381" w14:textId="760D10F6" w:rsidR="00771E5B" w:rsidRPr="005B34DC" w:rsidRDefault="00771E5B" w:rsidP="00DB6F2E">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rPr>
      </w:pPr>
    </w:p>
    <w:sectPr w:rsidR="00771E5B" w:rsidRPr="005B34DC" w:rsidSect="00B46AEA">
      <w:headerReference w:type="default" r:id="rId13"/>
      <w:footerReference w:type="default" r:id="rId14"/>
      <w:headerReference w:type="first" r:id="rId15"/>
      <w:footerReference w:type="first" r:id="rId16"/>
      <w:type w:val="continuous"/>
      <w:pgSz w:w="11906" w:h="16838"/>
      <w:pgMar w:top="2664" w:right="1418"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5D87" w14:textId="77777777" w:rsidR="00632EEF" w:rsidRDefault="00632EEF">
      <w:r>
        <w:rPr>
          <w:lang w:val="nl"/>
        </w:rPr>
        <w:separator/>
      </w:r>
    </w:p>
  </w:endnote>
  <w:endnote w:type="continuationSeparator" w:id="0">
    <w:p w14:paraId="52F915CC" w14:textId="77777777" w:rsidR="00632EEF" w:rsidRDefault="00632EEF">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30370735"/>
      <w:docPartObj>
        <w:docPartGallery w:val="Page Numbers (Bottom of Page)"/>
        <w:docPartUnique/>
      </w:docPartObj>
    </w:sdtPr>
    <w:sdtEndPr>
      <w:rPr>
        <w:sz w:val="16"/>
        <w:szCs w:val="16"/>
      </w:rPr>
    </w:sdtEndPr>
    <w:sdtContent>
      <w:p w14:paraId="7AA9708B" w14:textId="77777777" w:rsidR="00425999" w:rsidRDefault="00425999">
        <w:pPr>
          <w:pStyle w:val="Voettekst"/>
          <w:jc w:val="right"/>
        </w:pPr>
      </w:p>
      <w:p w14:paraId="514F80CD" w14:textId="77777777" w:rsidR="00425999" w:rsidRDefault="00425999">
        <w:pPr>
          <w:pStyle w:val="Voettekst"/>
          <w:jc w:val="right"/>
        </w:pPr>
      </w:p>
      <w:p w14:paraId="720D1F7F" w14:textId="77777777" w:rsidR="00425999" w:rsidRPr="00D5742C" w:rsidRDefault="00425999">
        <w:pPr>
          <w:pStyle w:val="Voettekst"/>
          <w:jc w:val="right"/>
          <w:rPr>
            <w:sz w:val="16"/>
            <w:szCs w:val="16"/>
          </w:rPr>
        </w:pPr>
        <w:r w:rsidRPr="00D5742C">
          <w:rPr>
            <w:noProof/>
            <w:sz w:val="16"/>
            <w:szCs w:val="16"/>
            <w:lang w:val="nl"/>
          </w:rPr>
          <w:drawing>
            <wp:anchor distT="0" distB="0" distL="114300" distR="114300" simplePos="0" relativeHeight="251667456" behindDoc="0" locked="0" layoutInCell="1" allowOverlap="1" wp14:anchorId="1F2E45C2" wp14:editId="4D36D873">
              <wp:simplePos x="0" y="0"/>
              <wp:positionH relativeFrom="column">
                <wp:posOffset>252095</wp:posOffset>
              </wp:positionH>
              <wp:positionV relativeFrom="paragraph">
                <wp:posOffset>22225</wp:posOffset>
              </wp:positionV>
              <wp:extent cx="5267325" cy="57150"/>
              <wp:effectExtent l="19050" t="0" r="9525" b="0"/>
              <wp:wrapNone/>
              <wp:docPr id="7" name="Afbeelding 7"/>
              <wp:cNvGraphicFramePr/>
              <a:graphic xmlns:a="http://schemas.openxmlformats.org/drawingml/2006/main">
                <a:graphicData uri="http://schemas.openxmlformats.org/drawingml/2006/picture">
                  <pic:pic xmlns:pic="http://schemas.openxmlformats.org/drawingml/2006/picture">
                    <pic:nvPicPr>
                      <pic:cNvPr id="0" name="balk.jpg"/>
                      <pic:cNvPicPr preferRelativeResize="0"/>
                    </pic:nvPicPr>
                    <pic:blipFill>
                      <a:blip r:embed="rId1"/>
                      <a:srcRect t="-260000" b="-260000"/>
                      <a:stretch>
                        <a:fillRect/>
                      </a:stretch>
                    </pic:blipFill>
                    <pic:spPr>
                      <a:xfrm>
                        <a:off x="0" y="0"/>
                        <a:ext cx="5267325" cy="57150"/>
                      </a:xfrm>
                      <a:prstGeom prst="rect">
                        <a:avLst/>
                      </a:prstGeom>
                    </pic:spPr>
                  </pic:pic>
                </a:graphicData>
              </a:graphic>
            </wp:anchor>
          </w:drawing>
        </w:r>
        <w:r w:rsidRPr="00D5742C">
          <w:rPr>
            <w:sz w:val="16"/>
            <w:szCs w:val="16"/>
            <w:lang w:val="nl"/>
          </w:rPr>
          <w:t xml:space="preserve"> </w:t>
        </w:r>
      </w:p>
    </w:sdtContent>
  </w:sdt>
  <w:p w14:paraId="7C7E41F8" w14:textId="77777777" w:rsidR="00425999" w:rsidRDefault="004259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B2E7" w14:textId="77777777" w:rsidR="00425999" w:rsidRDefault="00425999">
    <w:pPr>
      <w:pStyle w:val="Voettekst"/>
    </w:pPr>
    <w:r w:rsidRPr="00AD4EF4">
      <w:rPr>
        <w:noProof/>
        <w:lang w:val="nl"/>
      </w:rPr>
      <w:drawing>
        <wp:anchor distT="0" distB="0" distL="114300" distR="114300" simplePos="0" relativeHeight="251671552" behindDoc="0" locked="0" layoutInCell="1" allowOverlap="1" wp14:anchorId="54D15F06" wp14:editId="7F37494F">
          <wp:simplePos x="0" y="0"/>
          <wp:positionH relativeFrom="column">
            <wp:posOffset>404495</wp:posOffset>
          </wp:positionH>
          <wp:positionV relativeFrom="paragraph">
            <wp:posOffset>43180</wp:posOffset>
          </wp:positionV>
          <wp:extent cx="5267325" cy="57150"/>
          <wp:effectExtent l="19050" t="0" r="9525" b="0"/>
          <wp:wrapNone/>
          <wp:docPr id="4" name="Afbeelding 7"/>
          <wp:cNvGraphicFramePr/>
          <a:graphic xmlns:a="http://schemas.openxmlformats.org/drawingml/2006/main">
            <a:graphicData uri="http://schemas.openxmlformats.org/drawingml/2006/picture">
              <pic:pic xmlns:pic="http://schemas.openxmlformats.org/drawingml/2006/picture">
                <pic:nvPicPr>
                  <pic:cNvPr id="0" name="balk.jpg"/>
                  <pic:cNvPicPr preferRelativeResize="0"/>
                </pic:nvPicPr>
                <pic:blipFill>
                  <a:blip r:embed="rId1"/>
                  <a:srcRect t="-260000" b="-260000"/>
                  <a:stretch>
                    <a:fillRect/>
                  </a:stretch>
                </pic:blipFill>
                <pic:spPr>
                  <a:xfrm>
                    <a:off x="0" y="0"/>
                    <a:ext cx="5267325" cy="571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4390" w14:textId="77777777" w:rsidR="00632EEF" w:rsidRDefault="00632EEF">
      <w:r>
        <w:rPr>
          <w:lang w:val="nl"/>
        </w:rPr>
        <w:separator/>
      </w:r>
    </w:p>
  </w:footnote>
  <w:footnote w:type="continuationSeparator" w:id="0">
    <w:p w14:paraId="7CB7EF24" w14:textId="77777777" w:rsidR="00632EEF" w:rsidRDefault="00632EEF">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16DE" w14:textId="77777777" w:rsidR="00425999" w:rsidRDefault="00425999" w:rsidP="00EE7766">
    <w:pPr>
      <w:pStyle w:val="Koptekst"/>
      <w:jc w:val="center"/>
    </w:pPr>
    <w:r>
      <w:rPr>
        <w:noProof/>
        <w:lang w:val="nl"/>
      </w:rPr>
      <w:drawing>
        <wp:anchor distT="0" distB="0" distL="114300" distR="114300" simplePos="0" relativeHeight="251676672" behindDoc="0" locked="0" layoutInCell="1" allowOverlap="1" wp14:anchorId="3BF4885F" wp14:editId="2F20736A">
          <wp:simplePos x="0" y="0"/>
          <wp:positionH relativeFrom="column">
            <wp:posOffset>5150485</wp:posOffset>
          </wp:positionH>
          <wp:positionV relativeFrom="paragraph">
            <wp:posOffset>340995</wp:posOffset>
          </wp:positionV>
          <wp:extent cx="1276985" cy="586740"/>
          <wp:effectExtent l="19050" t="0" r="0" b="0"/>
          <wp:wrapNone/>
          <wp:docPr id="5" name="Afbeelding 1" descr="K:\POP\01. Onderzoeksrollen\12. Huisstijlbewaker\Procedures\03. Nieuwe huisstijl 2013\HUISSTIJL USP 2013\Logo\Logo_USP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P\01. Onderzoeksrollen\12. Huisstijlbewaker\Procedures\03. Nieuwe huisstijl 2013\HUISSTIJL USP 2013\Logo\Logo_USP_Big.jpg"/>
                  <pic:cNvPicPr>
                    <a:picLocks noChangeAspect="1" noChangeArrowheads="1"/>
                  </pic:cNvPicPr>
                </pic:nvPicPr>
                <pic:blipFill>
                  <a:blip r:embed="rId1"/>
                  <a:srcRect/>
                  <a:stretch>
                    <a:fillRect/>
                  </a:stretch>
                </pic:blipFill>
                <pic:spPr bwMode="auto">
                  <a:xfrm>
                    <a:off x="0" y="0"/>
                    <a:ext cx="1276985" cy="586740"/>
                  </a:xfrm>
                  <a:prstGeom prst="rect">
                    <a:avLst/>
                  </a:prstGeom>
                  <a:noFill/>
                  <a:ln w="9525">
                    <a:noFill/>
                    <a:miter lim="800000"/>
                    <a:headEnd/>
                    <a:tailEnd/>
                  </a:ln>
                </pic:spPr>
              </pic:pic>
            </a:graphicData>
          </a:graphic>
        </wp:anchor>
      </w:drawing>
    </w:r>
    <w:r>
      <w:rPr>
        <w:noProof/>
        <w:lang w:val="nl"/>
      </w:rPr>
      <w:drawing>
        <wp:anchor distT="0" distB="0" distL="114300" distR="114300" simplePos="0" relativeHeight="251677696" behindDoc="0" locked="0" layoutInCell="1" allowOverlap="1" wp14:anchorId="0AF86741" wp14:editId="769DCF80">
          <wp:simplePos x="0" y="0"/>
          <wp:positionH relativeFrom="column">
            <wp:posOffset>-717607</wp:posOffset>
          </wp:positionH>
          <wp:positionV relativeFrom="paragraph">
            <wp:posOffset>464024</wp:posOffset>
          </wp:positionV>
          <wp:extent cx="5753953" cy="791570"/>
          <wp:effectExtent l="19050" t="0" r="0" b="0"/>
          <wp:wrapNone/>
          <wp:docPr id="9" name="Afbeelding 3" descr="K:\POP\01. Onderzoeksrollen\12. Huisstijlbewaker\Procedures\03. Nieuwe huisstijl 2013\HUISSTIJL USP 2013\Achtergronden grid\halve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OP\01. Onderzoeksrollen\12. Huisstijlbewaker\Procedures\03. Nieuwe huisstijl 2013\HUISSTIJL USP 2013\Achtergronden grid\halvebol1.png"/>
                  <pic:cNvPicPr>
                    <a:picLocks noChangeAspect="1" noChangeArrowheads="1"/>
                  </pic:cNvPicPr>
                </pic:nvPicPr>
                <pic:blipFill>
                  <a:blip r:embed="rId2"/>
                  <a:srcRect/>
                  <a:stretch>
                    <a:fillRect/>
                  </a:stretch>
                </pic:blipFill>
                <pic:spPr bwMode="auto">
                  <a:xfrm>
                    <a:off x="0" y="0"/>
                    <a:ext cx="5753953" cy="79157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FAAA" w14:textId="77777777" w:rsidR="00425999" w:rsidRDefault="00425999" w:rsidP="00E27A9A">
    <w:pPr>
      <w:pStyle w:val="Koptekst"/>
      <w:jc w:val="center"/>
    </w:pPr>
    <w:r w:rsidRPr="00972FBF">
      <w:rPr>
        <w:noProof/>
        <w:lang w:val="nl"/>
      </w:rPr>
      <w:drawing>
        <wp:anchor distT="0" distB="0" distL="114300" distR="114300" simplePos="0" relativeHeight="251678720" behindDoc="0" locked="0" layoutInCell="1" allowOverlap="1" wp14:anchorId="4C1A9DBA" wp14:editId="3421BC44">
          <wp:simplePos x="0" y="0"/>
          <wp:positionH relativeFrom="column">
            <wp:posOffset>5166995</wp:posOffset>
          </wp:positionH>
          <wp:positionV relativeFrom="paragraph">
            <wp:posOffset>381000</wp:posOffset>
          </wp:positionV>
          <wp:extent cx="1267460" cy="590550"/>
          <wp:effectExtent l="19050" t="0" r="8890" b="0"/>
          <wp:wrapNone/>
          <wp:docPr id="1" name="Afbeelding 1" descr="K:\POP\01. Onderzoeksrollen\12. Huisstijlbewaker\Procedures\02. Nieuwe huisstijl 2013\HUISSTIJL USP 2013\1. Algemene richtlijnen\1.1 Logo\logo_USP_groot.png"/>
          <wp:cNvGraphicFramePr/>
          <a:graphic xmlns:a="http://schemas.openxmlformats.org/drawingml/2006/main">
            <a:graphicData uri="http://schemas.openxmlformats.org/drawingml/2006/picture">
              <pic:pic xmlns:pic="http://schemas.openxmlformats.org/drawingml/2006/picture">
                <pic:nvPicPr>
                  <pic:cNvPr id="10" name="Picture 2" descr="K:\POP\01. Onderzoeksrollen\12. Huisstijlbewaker\Procedures\02. Nieuwe huisstijl 2013\HUISSTIJL USP 2013\1. Algemene richtlijnen\1.1 Logo\logo_USP_groot.png"/>
                  <pic:cNvPicPr>
                    <a:picLocks noChangeAspect="1" noChangeArrowheads="1"/>
                  </pic:cNvPicPr>
                </pic:nvPicPr>
                <pic:blipFill>
                  <a:blip r:embed="rId1"/>
                  <a:srcRect/>
                  <a:stretch>
                    <a:fillRect/>
                  </a:stretch>
                </pic:blipFill>
                <pic:spPr bwMode="auto">
                  <a:xfrm>
                    <a:off x="0" y="0"/>
                    <a:ext cx="1267460" cy="590550"/>
                  </a:xfrm>
                  <a:prstGeom prst="rect">
                    <a:avLst/>
                  </a:prstGeom>
                  <a:noFill/>
                </pic:spPr>
              </pic:pic>
            </a:graphicData>
          </a:graphic>
        </wp:anchor>
      </w:drawing>
    </w:r>
    <w:r w:rsidRPr="00B46AEA">
      <w:rPr>
        <w:noProof/>
        <w:lang w:val="nl"/>
      </w:rPr>
      <w:drawing>
        <wp:anchor distT="0" distB="0" distL="114300" distR="114300" simplePos="0" relativeHeight="251674624" behindDoc="0" locked="0" layoutInCell="1" allowOverlap="1" wp14:anchorId="0D40526D" wp14:editId="77A6CB47">
          <wp:simplePos x="0" y="0"/>
          <wp:positionH relativeFrom="column">
            <wp:posOffset>-700405</wp:posOffset>
          </wp:positionH>
          <wp:positionV relativeFrom="page">
            <wp:posOffset>504825</wp:posOffset>
          </wp:positionV>
          <wp:extent cx="5762625" cy="790575"/>
          <wp:effectExtent l="0" t="0" r="9525" b="9525"/>
          <wp:wrapNone/>
          <wp:docPr id="3" name="Afbeelding 3" descr="K:\POP\01. Onderzoeksrollen\12. Huisstijlbewaker\Procedures\03. Nieuwe huisstijl 2013\HUISSTIJL USP 2013\Achtergronden grid\halve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OP\01. Onderzoeksrollen\12. Huisstijlbewaker\Procedures\03. Nieuwe huisstijl 2013\HUISSTIJL USP 2013\Achtergronden grid\halvebol1.png"/>
                  <pic:cNvPicPr>
                    <a:picLocks noChangeAspect="1" noChangeArrowheads="1"/>
                  </pic:cNvPicPr>
                </pic:nvPicPr>
                <pic:blipFill>
                  <a:blip r:embed="rId2"/>
                  <a:srcRect/>
                  <a:stretch>
                    <a:fillRect/>
                  </a:stretch>
                </pic:blipFill>
                <pic:spPr bwMode="auto">
                  <a:xfrm>
                    <a:off x="0" y="0"/>
                    <a:ext cx="5762625" cy="790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6FE2"/>
    <w:multiLevelType w:val="hybridMultilevel"/>
    <w:tmpl w:val="E0D63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3577DF"/>
    <w:multiLevelType w:val="hybridMultilevel"/>
    <w:tmpl w:val="D42E8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7656E2"/>
    <w:multiLevelType w:val="hybridMultilevel"/>
    <w:tmpl w:val="CD3280E8"/>
    <w:lvl w:ilvl="0" w:tplc="CA548968">
      <w:start w:val="1"/>
      <w:numFmt w:val="bullet"/>
      <w:lvlText w:val="•"/>
      <w:lvlJc w:val="left"/>
      <w:pPr>
        <w:tabs>
          <w:tab w:val="num" w:pos="720"/>
        </w:tabs>
        <w:ind w:left="720" w:hanging="360"/>
      </w:pPr>
      <w:rPr>
        <w:rFonts w:ascii="Arial" w:hAnsi="Arial" w:hint="default"/>
      </w:rPr>
    </w:lvl>
    <w:lvl w:ilvl="1" w:tplc="00EA8E26">
      <w:start w:val="1"/>
      <w:numFmt w:val="bullet"/>
      <w:lvlText w:val="•"/>
      <w:lvlJc w:val="left"/>
      <w:pPr>
        <w:tabs>
          <w:tab w:val="num" w:pos="1440"/>
        </w:tabs>
        <w:ind w:left="1440" w:hanging="360"/>
      </w:pPr>
      <w:rPr>
        <w:rFonts w:ascii="Arial" w:hAnsi="Arial" w:hint="default"/>
      </w:rPr>
    </w:lvl>
    <w:lvl w:ilvl="2" w:tplc="CA00D584" w:tentative="1">
      <w:start w:val="1"/>
      <w:numFmt w:val="bullet"/>
      <w:lvlText w:val="•"/>
      <w:lvlJc w:val="left"/>
      <w:pPr>
        <w:tabs>
          <w:tab w:val="num" w:pos="2160"/>
        </w:tabs>
        <w:ind w:left="2160" w:hanging="360"/>
      </w:pPr>
      <w:rPr>
        <w:rFonts w:ascii="Arial" w:hAnsi="Arial" w:hint="default"/>
      </w:rPr>
    </w:lvl>
    <w:lvl w:ilvl="3" w:tplc="D862EA6A" w:tentative="1">
      <w:start w:val="1"/>
      <w:numFmt w:val="bullet"/>
      <w:lvlText w:val="•"/>
      <w:lvlJc w:val="left"/>
      <w:pPr>
        <w:tabs>
          <w:tab w:val="num" w:pos="2880"/>
        </w:tabs>
        <w:ind w:left="2880" w:hanging="360"/>
      </w:pPr>
      <w:rPr>
        <w:rFonts w:ascii="Arial" w:hAnsi="Arial" w:hint="default"/>
      </w:rPr>
    </w:lvl>
    <w:lvl w:ilvl="4" w:tplc="83560528" w:tentative="1">
      <w:start w:val="1"/>
      <w:numFmt w:val="bullet"/>
      <w:lvlText w:val="•"/>
      <w:lvlJc w:val="left"/>
      <w:pPr>
        <w:tabs>
          <w:tab w:val="num" w:pos="3600"/>
        </w:tabs>
        <w:ind w:left="3600" w:hanging="360"/>
      </w:pPr>
      <w:rPr>
        <w:rFonts w:ascii="Arial" w:hAnsi="Arial" w:hint="default"/>
      </w:rPr>
    </w:lvl>
    <w:lvl w:ilvl="5" w:tplc="516C3270" w:tentative="1">
      <w:start w:val="1"/>
      <w:numFmt w:val="bullet"/>
      <w:lvlText w:val="•"/>
      <w:lvlJc w:val="left"/>
      <w:pPr>
        <w:tabs>
          <w:tab w:val="num" w:pos="4320"/>
        </w:tabs>
        <w:ind w:left="4320" w:hanging="360"/>
      </w:pPr>
      <w:rPr>
        <w:rFonts w:ascii="Arial" w:hAnsi="Arial" w:hint="default"/>
      </w:rPr>
    </w:lvl>
    <w:lvl w:ilvl="6" w:tplc="715094C4" w:tentative="1">
      <w:start w:val="1"/>
      <w:numFmt w:val="bullet"/>
      <w:lvlText w:val="•"/>
      <w:lvlJc w:val="left"/>
      <w:pPr>
        <w:tabs>
          <w:tab w:val="num" w:pos="5040"/>
        </w:tabs>
        <w:ind w:left="5040" w:hanging="360"/>
      </w:pPr>
      <w:rPr>
        <w:rFonts w:ascii="Arial" w:hAnsi="Arial" w:hint="default"/>
      </w:rPr>
    </w:lvl>
    <w:lvl w:ilvl="7" w:tplc="A97A4D5E" w:tentative="1">
      <w:start w:val="1"/>
      <w:numFmt w:val="bullet"/>
      <w:lvlText w:val="•"/>
      <w:lvlJc w:val="left"/>
      <w:pPr>
        <w:tabs>
          <w:tab w:val="num" w:pos="5760"/>
        </w:tabs>
        <w:ind w:left="5760" w:hanging="360"/>
      </w:pPr>
      <w:rPr>
        <w:rFonts w:ascii="Arial" w:hAnsi="Arial" w:hint="default"/>
      </w:rPr>
    </w:lvl>
    <w:lvl w:ilvl="8" w:tplc="70A4A3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8B7A62"/>
    <w:multiLevelType w:val="hybridMultilevel"/>
    <w:tmpl w:val="B47EEEA6"/>
    <w:lvl w:ilvl="0" w:tplc="6C50B4F0">
      <w:start w:val="1"/>
      <w:numFmt w:val="bullet"/>
      <w:lvlText w:val="–"/>
      <w:lvlJc w:val="left"/>
      <w:pPr>
        <w:ind w:left="720" w:hanging="360"/>
      </w:pPr>
      <w:rPr>
        <w:rFonts w:ascii="Arial" w:hAnsi="Arial" w:hint="default"/>
        <w:color w:val="D81920" w:themeColor="accent3"/>
        <w:sz w:val="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A55A33"/>
    <w:multiLevelType w:val="hybridMultilevel"/>
    <w:tmpl w:val="46BAC1F0"/>
    <w:lvl w:ilvl="0" w:tplc="C900AAB2">
      <w:start w:val="1"/>
      <w:numFmt w:val="bullet"/>
      <w:lvlText w:val="•"/>
      <w:lvlJc w:val="left"/>
      <w:pPr>
        <w:tabs>
          <w:tab w:val="num" w:pos="720"/>
        </w:tabs>
        <w:ind w:left="720" w:hanging="360"/>
      </w:pPr>
      <w:rPr>
        <w:rFonts w:ascii="Arial" w:hAnsi="Arial" w:hint="default"/>
      </w:rPr>
    </w:lvl>
    <w:lvl w:ilvl="1" w:tplc="FFA025D6">
      <w:start w:val="1"/>
      <w:numFmt w:val="bullet"/>
      <w:lvlText w:val="•"/>
      <w:lvlJc w:val="left"/>
      <w:pPr>
        <w:tabs>
          <w:tab w:val="num" w:pos="1440"/>
        </w:tabs>
        <w:ind w:left="1440" w:hanging="360"/>
      </w:pPr>
      <w:rPr>
        <w:rFonts w:ascii="Arial" w:hAnsi="Arial" w:hint="default"/>
      </w:rPr>
    </w:lvl>
    <w:lvl w:ilvl="2" w:tplc="C6925234" w:tentative="1">
      <w:start w:val="1"/>
      <w:numFmt w:val="bullet"/>
      <w:lvlText w:val="•"/>
      <w:lvlJc w:val="left"/>
      <w:pPr>
        <w:tabs>
          <w:tab w:val="num" w:pos="2160"/>
        </w:tabs>
        <w:ind w:left="2160" w:hanging="360"/>
      </w:pPr>
      <w:rPr>
        <w:rFonts w:ascii="Arial" w:hAnsi="Arial" w:hint="default"/>
      </w:rPr>
    </w:lvl>
    <w:lvl w:ilvl="3" w:tplc="08CA6D72" w:tentative="1">
      <w:start w:val="1"/>
      <w:numFmt w:val="bullet"/>
      <w:lvlText w:val="•"/>
      <w:lvlJc w:val="left"/>
      <w:pPr>
        <w:tabs>
          <w:tab w:val="num" w:pos="2880"/>
        </w:tabs>
        <w:ind w:left="2880" w:hanging="360"/>
      </w:pPr>
      <w:rPr>
        <w:rFonts w:ascii="Arial" w:hAnsi="Arial" w:hint="default"/>
      </w:rPr>
    </w:lvl>
    <w:lvl w:ilvl="4" w:tplc="32707C7A" w:tentative="1">
      <w:start w:val="1"/>
      <w:numFmt w:val="bullet"/>
      <w:lvlText w:val="•"/>
      <w:lvlJc w:val="left"/>
      <w:pPr>
        <w:tabs>
          <w:tab w:val="num" w:pos="3600"/>
        </w:tabs>
        <w:ind w:left="3600" w:hanging="360"/>
      </w:pPr>
      <w:rPr>
        <w:rFonts w:ascii="Arial" w:hAnsi="Arial" w:hint="default"/>
      </w:rPr>
    </w:lvl>
    <w:lvl w:ilvl="5" w:tplc="BC825D2A" w:tentative="1">
      <w:start w:val="1"/>
      <w:numFmt w:val="bullet"/>
      <w:lvlText w:val="•"/>
      <w:lvlJc w:val="left"/>
      <w:pPr>
        <w:tabs>
          <w:tab w:val="num" w:pos="4320"/>
        </w:tabs>
        <w:ind w:left="4320" w:hanging="360"/>
      </w:pPr>
      <w:rPr>
        <w:rFonts w:ascii="Arial" w:hAnsi="Arial" w:hint="default"/>
      </w:rPr>
    </w:lvl>
    <w:lvl w:ilvl="6" w:tplc="8BA4810A" w:tentative="1">
      <w:start w:val="1"/>
      <w:numFmt w:val="bullet"/>
      <w:lvlText w:val="•"/>
      <w:lvlJc w:val="left"/>
      <w:pPr>
        <w:tabs>
          <w:tab w:val="num" w:pos="5040"/>
        </w:tabs>
        <w:ind w:left="5040" w:hanging="360"/>
      </w:pPr>
      <w:rPr>
        <w:rFonts w:ascii="Arial" w:hAnsi="Arial" w:hint="default"/>
      </w:rPr>
    </w:lvl>
    <w:lvl w:ilvl="7" w:tplc="004A9556" w:tentative="1">
      <w:start w:val="1"/>
      <w:numFmt w:val="bullet"/>
      <w:lvlText w:val="•"/>
      <w:lvlJc w:val="left"/>
      <w:pPr>
        <w:tabs>
          <w:tab w:val="num" w:pos="5760"/>
        </w:tabs>
        <w:ind w:left="5760" w:hanging="360"/>
      </w:pPr>
      <w:rPr>
        <w:rFonts w:ascii="Arial" w:hAnsi="Arial" w:hint="default"/>
      </w:rPr>
    </w:lvl>
    <w:lvl w:ilvl="8" w:tplc="689812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7C1201"/>
    <w:multiLevelType w:val="hybridMultilevel"/>
    <w:tmpl w:val="CD48BA22"/>
    <w:lvl w:ilvl="0" w:tplc="342830C8">
      <w:start w:val="1"/>
      <w:numFmt w:val="bullet"/>
      <w:lvlText w:val="•"/>
      <w:lvlJc w:val="left"/>
      <w:pPr>
        <w:tabs>
          <w:tab w:val="num" w:pos="720"/>
        </w:tabs>
        <w:ind w:left="720" w:hanging="360"/>
      </w:pPr>
      <w:rPr>
        <w:rFonts w:ascii="Arial" w:hAnsi="Arial" w:hint="default"/>
      </w:rPr>
    </w:lvl>
    <w:lvl w:ilvl="1" w:tplc="CF243F2C">
      <w:start w:val="1"/>
      <w:numFmt w:val="bullet"/>
      <w:lvlText w:val="•"/>
      <w:lvlJc w:val="left"/>
      <w:pPr>
        <w:tabs>
          <w:tab w:val="num" w:pos="1440"/>
        </w:tabs>
        <w:ind w:left="1440" w:hanging="360"/>
      </w:pPr>
      <w:rPr>
        <w:rFonts w:ascii="Arial" w:hAnsi="Arial" w:hint="default"/>
      </w:rPr>
    </w:lvl>
    <w:lvl w:ilvl="2" w:tplc="DFA678EC" w:tentative="1">
      <w:start w:val="1"/>
      <w:numFmt w:val="bullet"/>
      <w:lvlText w:val="•"/>
      <w:lvlJc w:val="left"/>
      <w:pPr>
        <w:tabs>
          <w:tab w:val="num" w:pos="2160"/>
        </w:tabs>
        <w:ind w:left="2160" w:hanging="360"/>
      </w:pPr>
      <w:rPr>
        <w:rFonts w:ascii="Arial" w:hAnsi="Arial" w:hint="default"/>
      </w:rPr>
    </w:lvl>
    <w:lvl w:ilvl="3" w:tplc="716C9AEA" w:tentative="1">
      <w:start w:val="1"/>
      <w:numFmt w:val="bullet"/>
      <w:lvlText w:val="•"/>
      <w:lvlJc w:val="left"/>
      <w:pPr>
        <w:tabs>
          <w:tab w:val="num" w:pos="2880"/>
        </w:tabs>
        <w:ind w:left="2880" w:hanging="360"/>
      </w:pPr>
      <w:rPr>
        <w:rFonts w:ascii="Arial" w:hAnsi="Arial" w:hint="default"/>
      </w:rPr>
    </w:lvl>
    <w:lvl w:ilvl="4" w:tplc="99BEA394" w:tentative="1">
      <w:start w:val="1"/>
      <w:numFmt w:val="bullet"/>
      <w:lvlText w:val="•"/>
      <w:lvlJc w:val="left"/>
      <w:pPr>
        <w:tabs>
          <w:tab w:val="num" w:pos="3600"/>
        </w:tabs>
        <w:ind w:left="3600" w:hanging="360"/>
      </w:pPr>
      <w:rPr>
        <w:rFonts w:ascii="Arial" w:hAnsi="Arial" w:hint="default"/>
      </w:rPr>
    </w:lvl>
    <w:lvl w:ilvl="5" w:tplc="04B2752C" w:tentative="1">
      <w:start w:val="1"/>
      <w:numFmt w:val="bullet"/>
      <w:lvlText w:val="•"/>
      <w:lvlJc w:val="left"/>
      <w:pPr>
        <w:tabs>
          <w:tab w:val="num" w:pos="4320"/>
        </w:tabs>
        <w:ind w:left="4320" w:hanging="360"/>
      </w:pPr>
      <w:rPr>
        <w:rFonts w:ascii="Arial" w:hAnsi="Arial" w:hint="default"/>
      </w:rPr>
    </w:lvl>
    <w:lvl w:ilvl="6" w:tplc="A32EB36A" w:tentative="1">
      <w:start w:val="1"/>
      <w:numFmt w:val="bullet"/>
      <w:lvlText w:val="•"/>
      <w:lvlJc w:val="left"/>
      <w:pPr>
        <w:tabs>
          <w:tab w:val="num" w:pos="5040"/>
        </w:tabs>
        <w:ind w:left="5040" w:hanging="360"/>
      </w:pPr>
      <w:rPr>
        <w:rFonts w:ascii="Arial" w:hAnsi="Arial" w:hint="default"/>
      </w:rPr>
    </w:lvl>
    <w:lvl w:ilvl="7" w:tplc="775469D0" w:tentative="1">
      <w:start w:val="1"/>
      <w:numFmt w:val="bullet"/>
      <w:lvlText w:val="•"/>
      <w:lvlJc w:val="left"/>
      <w:pPr>
        <w:tabs>
          <w:tab w:val="num" w:pos="5760"/>
        </w:tabs>
        <w:ind w:left="5760" w:hanging="360"/>
      </w:pPr>
      <w:rPr>
        <w:rFonts w:ascii="Arial" w:hAnsi="Arial" w:hint="default"/>
      </w:rPr>
    </w:lvl>
    <w:lvl w:ilvl="8" w:tplc="D77AE6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9236F0"/>
    <w:multiLevelType w:val="hybridMultilevel"/>
    <w:tmpl w:val="AA423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D6124A"/>
    <w:multiLevelType w:val="hybridMultilevel"/>
    <w:tmpl w:val="934E7A0C"/>
    <w:lvl w:ilvl="0" w:tplc="DBFE5A5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3F620D"/>
    <w:multiLevelType w:val="hybridMultilevel"/>
    <w:tmpl w:val="9E40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ED5C19"/>
    <w:multiLevelType w:val="hybridMultilevel"/>
    <w:tmpl w:val="F3BC3CE2"/>
    <w:lvl w:ilvl="0" w:tplc="16EA5200">
      <w:start w:val="1"/>
      <w:numFmt w:val="bullet"/>
      <w:lvlText w:val="•"/>
      <w:lvlJc w:val="left"/>
      <w:pPr>
        <w:tabs>
          <w:tab w:val="num" w:pos="720"/>
        </w:tabs>
        <w:ind w:left="720" w:hanging="360"/>
      </w:pPr>
      <w:rPr>
        <w:rFonts w:ascii="Arial" w:hAnsi="Arial" w:hint="default"/>
      </w:rPr>
    </w:lvl>
    <w:lvl w:ilvl="1" w:tplc="5A70158C">
      <w:start w:val="1"/>
      <w:numFmt w:val="bullet"/>
      <w:lvlText w:val="•"/>
      <w:lvlJc w:val="left"/>
      <w:pPr>
        <w:tabs>
          <w:tab w:val="num" w:pos="1440"/>
        </w:tabs>
        <w:ind w:left="1440" w:hanging="360"/>
      </w:pPr>
      <w:rPr>
        <w:rFonts w:ascii="Arial" w:hAnsi="Arial" w:hint="default"/>
      </w:rPr>
    </w:lvl>
    <w:lvl w:ilvl="2" w:tplc="F198DFD2" w:tentative="1">
      <w:start w:val="1"/>
      <w:numFmt w:val="bullet"/>
      <w:lvlText w:val="•"/>
      <w:lvlJc w:val="left"/>
      <w:pPr>
        <w:tabs>
          <w:tab w:val="num" w:pos="2160"/>
        </w:tabs>
        <w:ind w:left="2160" w:hanging="360"/>
      </w:pPr>
      <w:rPr>
        <w:rFonts w:ascii="Arial" w:hAnsi="Arial" w:hint="default"/>
      </w:rPr>
    </w:lvl>
    <w:lvl w:ilvl="3" w:tplc="2EC6C7FC" w:tentative="1">
      <w:start w:val="1"/>
      <w:numFmt w:val="bullet"/>
      <w:lvlText w:val="•"/>
      <w:lvlJc w:val="left"/>
      <w:pPr>
        <w:tabs>
          <w:tab w:val="num" w:pos="2880"/>
        </w:tabs>
        <w:ind w:left="2880" w:hanging="360"/>
      </w:pPr>
      <w:rPr>
        <w:rFonts w:ascii="Arial" w:hAnsi="Arial" w:hint="default"/>
      </w:rPr>
    </w:lvl>
    <w:lvl w:ilvl="4" w:tplc="94169F96" w:tentative="1">
      <w:start w:val="1"/>
      <w:numFmt w:val="bullet"/>
      <w:lvlText w:val="•"/>
      <w:lvlJc w:val="left"/>
      <w:pPr>
        <w:tabs>
          <w:tab w:val="num" w:pos="3600"/>
        </w:tabs>
        <w:ind w:left="3600" w:hanging="360"/>
      </w:pPr>
      <w:rPr>
        <w:rFonts w:ascii="Arial" w:hAnsi="Arial" w:hint="default"/>
      </w:rPr>
    </w:lvl>
    <w:lvl w:ilvl="5" w:tplc="B14AF5EE" w:tentative="1">
      <w:start w:val="1"/>
      <w:numFmt w:val="bullet"/>
      <w:lvlText w:val="•"/>
      <w:lvlJc w:val="left"/>
      <w:pPr>
        <w:tabs>
          <w:tab w:val="num" w:pos="4320"/>
        </w:tabs>
        <w:ind w:left="4320" w:hanging="360"/>
      </w:pPr>
      <w:rPr>
        <w:rFonts w:ascii="Arial" w:hAnsi="Arial" w:hint="default"/>
      </w:rPr>
    </w:lvl>
    <w:lvl w:ilvl="6" w:tplc="4042B97C" w:tentative="1">
      <w:start w:val="1"/>
      <w:numFmt w:val="bullet"/>
      <w:lvlText w:val="•"/>
      <w:lvlJc w:val="left"/>
      <w:pPr>
        <w:tabs>
          <w:tab w:val="num" w:pos="5040"/>
        </w:tabs>
        <w:ind w:left="5040" w:hanging="360"/>
      </w:pPr>
      <w:rPr>
        <w:rFonts w:ascii="Arial" w:hAnsi="Arial" w:hint="default"/>
      </w:rPr>
    </w:lvl>
    <w:lvl w:ilvl="7" w:tplc="641ABCFC" w:tentative="1">
      <w:start w:val="1"/>
      <w:numFmt w:val="bullet"/>
      <w:lvlText w:val="•"/>
      <w:lvlJc w:val="left"/>
      <w:pPr>
        <w:tabs>
          <w:tab w:val="num" w:pos="5760"/>
        </w:tabs>
        <w:ind w:left="5760" w:hanging="360"/>
      </w:pPr>
      <w:rPr>
        <w:rFonts w:ascii="Arial" w:hAnsi="Arial" w:hint="default"/>
      </w:rPr>
    </w:lvl>
    <w:lvl w:ilvl="8" w:tplc="C14AB7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7F0A46"/>
    <w:multiLevelType w:val="hybridMultilevel"/>
    <w:tmpl w:val="6756A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FF5FA1"/>
    <w:multiLevelType w:val="hybridMultilevel"/>
    <w:tmpl w:val="EC46F266"/>
    <w:lvl w:ilvl="0" w:tplc="47342BB4">
      <w:start w:val="1"/>
      <w:numFmt w:val="bullet"/>
      <w:lvlText w:val=""/>
      <w:lvlJc w:val="left"/>
      <w:pPr>
        <w:ind w:left="720" w:hanging="360"/>
      </w:pPr>
      <w:rPr>
        <w:rFonts w:ascii="Symbol" w:hAnsi="Symbol" w:hint="default"/>
        <w:color w:val="D81920" w:themeColor="accent3"/>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1"/>
  </w:num>
  <w:num w:numId="6">
    <w:abstractNumId w:val="11"/>
  </w:num>
  <w:num w:numId="7">
    <w:abstractNumId w:val="2"/>
  </w:num>
  <w:num w:numId="8">
    <w:abstractNumId w:val="9"/>
  </w:num>
  <w:num w:numId="9">
    <w:abstractNumId w:val="5"/>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9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jc1sDA2N7MwMDdW0lEKTi0uzszPAykwrAUAFmndvCwAAAA="/>
  </w:docVars>
  <w:rsids>
    <w:rsidRoot w:val="000A7C4A"/>
    <w:rsid w:val="00001E77"/>
    <w:rsid w:val="0001507E"/>
    <w:rsid w:val="00016117"/>
    <w:rsid w:val="00016445"/>
    <w:rsid w:val="00017346"/>
    <w:rsid w:val="000174E9"/>
    <w:rsid w:val="00025729"/>
    <w:rsid w:val="00033521"/>
    <w:rsid w:val="0004017A"/>
    <w:rsid w:val="00047E49"/>
    <w:rsid w:val="00053F16"/>
    <w:rsid w:val="00065EB1"/>
    <w:rsid w:val="00073E9C"/>
    <w:rsid w:val="00081FD6"/>
    <w:rsid w:val="00082371"/>
    <w:rsid w:val="00083F26"/>
    <w:rsid w:val="00084CCF"/>
    <w:rsid w:val="00084E5B"/>
    <w:rsid w:val="000854D1"/>
    <w:rsid w:val="000903CA"/>
    <w:rsid w:val="000A1080"/>
    <w:rsid w:val="000A23A2"/>
    <w:rsid w:val="000A3339"/>
    <w:rsid w:val="000A4601"/>
    <w:rsid w:val="000A7C4A"/>
    <w:rsid w:val="000B1885"/>
    <w:rsid w:val="000B3F69"/>
    <w:rsid w:val="000B43FA"/>
    <w:rsid w:val="000B4FD9"/>
    <w:rsid w:val="000B7BE0"/>
    <w:rsid w:val="000C50AB"/>
    <w:rsid w:val="000C51D1"/>
    <w:rsid w:val="000C74B3"/>
    <w:rsid w:val="000D2C79"/>
    <w:rsid w:val="000D4EF8"/>
    <w:rsid w:val="000E47DE"/>
    <w:rsid w:val="000E5442"/>
    <w:rsid w:val="000F5D75"/>
    <w:rsid w:val="000F67BF"/>
    <w:rsid w:val="0010536D"/>
    <w:rsid w:val="00106E1D"/>
    <w:rsid w:val="00110C89"/>
    <w:rsid w:val="00115FD6"/>
    <w:rsid w:val="00126FBD"/>
    <w:rsid w:val="001338D7"/>
    <w:rsid w:val="001532D1"/>
    <w:rsid w:val="00154AA8"/>
    <w:rsid w:val="00163F9B"/>
    <w:rsid w:val="00171011"/>
    <w:rsid w:val="001758C3"/>
    <w:rsid w:val="00182ACC"/>
    <w:rsid w:val="001832D8"/>
    <w:rsid w:val="00184C85"/>
    <w:rsid w:val="00185BA9"/>
    <w:rsid w:val="00186580"/>
    <w:rsid w:val="00190FD0"/>
    <w:rsid w:val="00191BE6"/>
    <w:rsid w:val="001A1114"/>
    <w:rsid w:val="001A1EE8"/>
    <w:rsid w:val="001A27A7"/>
    <w:rsid w:val="001A43FA"/>
    <w:rsid w:val="001B320B"/>
    <w:rsid w:val="001D018A"/>
    <w:rsid w:val="001D1C2F"/>
    <w:rsid w:val="001D2A63"/>
    <w:rsid w:val="001E1E2C"/>
    <w:rsid w:val="001E29CC"/>
    <w:rsid w:val="001F0F89"/>
    <w:rsid w:val="001F19EF"/>
    <w:rsid w:val="001F44D7"/>
    <w:rsid w:val="001F6560"/>
    <w:rsid w:val="002008A8"/>
    <w:rsid w:val="0020230C"/>
    <w:rsid w:val="00203C72"/>
    <w:rsid w:val="00210AA9"/>
    <w:rsid w:val="00213E5F"/>
    <w:rsid w:val="00223FEB"/>
    <w:rsid w:val="00224FB3"/>
    <w:rsid w:val="002271E8"/>
    <w:rsid w:val="00227F65"/>
    <w:rsid w:val="00232350"/>
    <w:rsid w:val="00234C0C"/>
    <w:rsid w:val="00237A4A"/>
    <w:rsid w:val="00256155"/>
    <w:rsid w:val="00263B0A"/>
    <w:rsid w:val="00273BCE"/>
    <w:rsid w:val="002749F7"/>
    <w:rsid w:val="00280B48"/>
    <w:rsid w:val="00280E9C"/>
    <w:rsid w:val="00282F9D"/>
    <w:rsid w:val="00293F7D"/>
    <w:rsid w:val="002A1665"/>
    <w:rsid w:val="002A19F6"/>
    <w:rsid w:val="002A3DEF"/>
    <w:rsid w:val="002A6321"/>
    <w:rsid w:val="002B0621"/>
    <w:rsid w:val="002B080A"/>
    <w:rsid w:val="002B5F9C"/>
    <w:rsid w:val="002C0110"/>
    <w:rsid w:val="002C2D49"/>
    <w:rsid w:val="002D0190"/>
    <w:rsid w:val="002D38C4"/>
    <w:rsid w:val="002D4053"/>
    <w:rsid w:val="002E0433"/>
    <w:rsid w:val="002F23B4"/>
    <w:rsid w:val="002F3166"/>
    <w:rsid w:val="002F4ADB"/>
    <w:rsid w:val="002F65B3"/>
    <w:rsid w:val="00303E98"/>
    <w:rsid w:val="0030411C"/>
    <w:rsid w:val="0030429C"/>
    <w:rsid w:val="00315614"/>
    <w:rsid w:val="00330CAB"/>
    <w:rsid w:val="00330E69"/>
    <w:rsid w:val="003320DC"/>
    <w:rsid w:val="00335FB1"/>
    <w:rsid w:val="00340330"/>
    <w:rsid w:val="00341256"/>
    <w:rsid w:val="0034254A"/>
    <w:rsid w:val="0034300A"/>
    <w:rsid w:val="003537E9"/>
    <w:rsid w:val="00354D9D"/>
    <w:rsid w:val="003618AB"/>
    <w:rsid w:val="00372F88"/>
    <w:rsid w:val="00374A4D"/>
    <w:rsid w:val="00377D6B"/>
    <w:rsid w:val="00380B19"/>
    <w:rsid w:val="003817B8"/>
    <w:rsid w:val="00382BC0"/>
    <w:rsid w:val="00384F5C"/>
    <w:rsid w:val="00385DC6"/>
    <w:rsid w:val="00386341"/>
    <w:rsid w:val="00394234"/>
    <w:rsid w:val="003956CE"/>
    <w:rsid w:val="00395EFD"/>
    <w:rsid w:val="003A58A9"/>
    <w:rsid w:val="003B3D5F"/>
    <w:rsid w:val="003D264C"/>
    <w:rsid w:val="003D3A01"/>
    <w:rsid w:val="003F29B3"/>
    <w:rsid w:val="003F364A"/>
    <w:rsid w:val="003F4E42"/>
    <w:rsid w:val="003F6C1C"/>
    <w:rsid w:val="00402414"/>
    <w:rsid w:val="00405A95"/>
    <w:rsid w:val="00413366"/>
    <w:rsid w:val="004246E6"/>
    <w:rsid w:val="0042582B"/>
    <w:rsid w:val="00425999"/>
    <w:rsid w:val="00427DFE"/>
    <w:rsid w:val="00434B2B"/>
    <w:rsid w:val="0043736B"/>
    <w:rsid w:val="00452121"/>
    <w:rsid w:val="004602B7"/>
    <w:rsid w:val="004605CB"/>
    <w:rsid w:val="00461696"/>
    <w:rsid w:val="00461A30"/>
    <w:rsid w:val="00467B52"/>
    <w:rsid w:val="0047019B"/>
    <w:rsid w:val="00472FE0"/>
    <w:rsid w:val="00473063"/>
    <w:rsid w:val="004815BE"/>
    <w:rsid w:val="00486CFB"/>
    <w:rsid w:val="004900F1"/>
    <w:rsid w:val="00492F14"/>
    <w:rsid w:val="0049607E"/>
    <w:rsid w:val="004A27E0"/>
    <w:rsid w:val="004A37D5"/>
    <w:rsid w:val="004A40DD"/>
    <w:rsid w:val="004B0B29"/>
    <w:rsid w:val="004D57FB"/>
    <w:rsid w:val="004E4750"/>
    <w:rsid w:val="004E692A"/>
    <w:rsid w:val="004E6984"/>
    <w:rsid w:val="004F4F1E"/>
    <w:rsid w:val="00501D13"/>
    <w:rsid w:val="00504753"/>
    <w:rsid w:val="00506961"/>
    <w:rsid w:val="005142C4"/>
    <w:rsid w:val="00517A27"/>
    <w:rsid w:val="005210C4"/>
    <w:rsid w:val="00524C98"/>
    <w:rsid w:val="00527244"/>
    <w:rsid w:val="00527A39"/>
    <w:rsid w:val="00543769"/>
    <w:rsid w:val="005453EA"/>
    <w:rsid w:val="005460C6"/>
    <w:rsid w:val="00546C56"/>
    <w:rsid w:val="0055377D"/>
    <w:rsid w:val="00553D7B"/>
    <w:rsid w:val="00555026"/>
    <w:rsid w:val="00555C41"/>
    <w:rsid w:val="00556048"/>
    <w:rsid w:val="0056427C"/>
    <w:rsid w:val="00572877"/>
    <w:rsid w:val="00580C4B"/>
    <w:rsid w:val="005848C7"/>
    <w:rsid w:val="00585B3E"/>
    <w:rsid w:val="00587155"/>
    <w:rsid w:val="00590E48"/>
    <w:rsid w:val="00596B3B"/>
    <w:rsid w:val="00596FDE"/>
    <w:rsid w:val="005971A3"/>
    <w:rsid w:val="005A0329"/>
    <w:rsid w:val="005A4172"/>
    <w:rsid w:val="005A598E"/>
    <w:rsid w:val="005A7174"/>
    <w:rsid w:val="005B0026"/>
    <w:rsid w:val="005B34DC"/>
    <w:rsid w:val="005C4F73"/>
    <w:rsid w:val="005C78D6"/>
    <w:rsid w:val="005D3A83"/>
    <w:rsid w:val="005D6F47"/>
    <w:rsid w:val="005E144F"/>
    <w:rsid w:val="005E3968"/>
    <w:rsid w:val="005E48E2"/>
    <w:rsid w:val="005E5B95"/>
    <w:rsid w:val="005E7215"/>
    <w:rsid w:val="005F0E2B"/>
    <w:rsid w:val="005F5004"/>
    <w:rsid w:val="005F7DB3"/>
    <w:rsid w:val="00607FB8"/>
    <w:rsid w:val="00613556"/>
    <w:rsid w:val="006174E3"/>
    <w:rsid w:val="00617DC6"/>
    <w:rsid w:val="006211AB"/>
    <w:rsid w:val="00621E88"/>
    <w:rsid w:val="00623CD2"/>
    <w:rsid w:val="00627084"/>
    <w:rsid w:val="00630990"/>
    <w:rsid w:val="00632EEF"/>
    <w:rsid w:val="00635BD6"/>
    <w:rsid w:val="0064096B"/>
    <w:rsid w:val="00640B75"/>
    <w:rsid w:val="0066136A"/>
    <w:rsid w:val="006645E1"/>
    <w:rsid w:val="006707F9"/>
    <w:rsid w:val="00671B69"/>
    <w:rsid w:val="006737DE"/>
    <w:rsid w:val="00673A65"/>
    <w:rsid w:val="00673CEA"/>
    <w:rsid w:val="0069372D"/>
    <w:rsid w:val="0069696F"/>
    <w:rsid w:val="006A0151"/>
    <w:rsid w:val="006A1F79"/>
    <w:rsid w:val="006A3C25"/>
    <w:rsid w:val="006B48D1"/>
    <w:rsid w:val="006C3407"/>
    <w:rsid w:val="006C36ED"/>
    <w:rsid w:val="006C4B8A"/>
    <w:rsid w:val="006C6D19"/>
    <w:rsid w:val="006D1925"/>
    <w:rsid w:val="006D6F7A"/>
    <w:rsid w:val="006E53E9"/>
    <w:rsid w:val="00700EE3"/>
    <w:rsid w:val="007046B0"/>
    <w:rsid w:val="00704BE5"/>
    <w:rsid w:val="00711759"/>
    <w:rsid w:val="00711A08"/>
    <w:rsid w:val="0072081A"/>
    <w:rsid w:val="00720E2A"/>
    <w:rsid w:val="007219A5"/>
    <w:rsid w:val="00721DA1"/>
    <w:rsid w:val="00724104"/>
    <w:rsid w:val="007244CB"/>
    <w:rsid w:val="0073235D"/>
    <w:rsid w:val="0073388E"/>
    <w:rsid w:val="00735961"/>
    <w:rsid w:val="00750978"/>
    <w:rsid w:val="00750F52"/>
    <w:rsid w:val="0075171E"/>
    <w:rsid w:val="007522B3"/>
    <w:rsid w:val="007524A2"/>
    <w:rsid w:val="00755C1E"/>
    <w:rsid w:val="00761703"/>
    <w:rsid w:val="00766DC5"/>
    <w:rsid w:val="00771E5B"/>
    <w:rsid w:val="00773B20"/>
    <w:rsid w:val="00774D61"/>
    <w:rsid w:val="00777853"/>
    <w:rsid w:val="00785648"/>
    <w:rsid w:val="00790FEE"/>
    <w:rsid w:val="007922B3"/>
    <w:rsid w:val="007959A2"/>
    <w:rsid w:val="0079655B"/>
    <w:rsid w:val="007A3A1D"/>
    <w:rsid w:val="007B0BC4"/>
    <w:rsid w:val="007B1366"/>
    <w:rsid w:val="007B7658"/>
    <w:rsid w:val="007C266C"/>
    <w:rsid w:val="007C5CA2"/>
    <w:rsid w:val="007C61D1"/>
    <w:rsid w:val="007D0A25"/>
    <w:rsid w:val="007D2669"/>
    <w:rsid w:val="007D33B7"/>
    <w:rsid w:val="007D3B63"/>
    <w:rsid w:val="007D3BFE"/>
    <w:rsid w:val="007E089D"/>
    <w:rsid w:val="007E0E92"/>
    <w:rsid w:val="007E66ED"/>
    <w:rsid w:val="007E6792"/>
    <w:rsid w:val="007E6A80"/>
    <w:rsid w:val="007F2239"/>
    <w:rsid w:val="007F64F1"/>
    <w:rsid w:val="007F77C7"/>
    <w:rsid w:val="007F78E3"/>
    <w:rsid w:val="008018C6"/>
    <w:rsid w:val="00804DAF"/>
    <w:rsid w:val="008053E3"/>
    <w:rsid w:val="00806502"/>
    <w:rsid w:val="008108AD"/>
    <w:rsid w:val="00814C3F"/>
    <w:rsid w:val="008167C0"/>
    <w:rsid w:val="00821DA7"/>
    <w:rsid w:val="00822390"/>
    <w:rsid w:val="0082479A"/>
    <w:rsid w:val="00831E34"/>
    <w:rsid w:val="00833C95"/>
    <w:rsid w:val="00836549"/>
    <w:rsid w:val="00842DA4"/>
    <w:rsid w:val="00844FDD"/>
    <w:rsid w:val="00856052"/>
    <w:rsid w:val="00857601"/>
    <w:rsid w:val="0086154B"/>
    <w:rsid w:val="00864A6C"/>
    <w:rsid w:val="00864F33"/>
    <w:rsid w:val="00877FDD"/>
    <w:rsid w:val="00881B27"/>
    <w:rsid w:val="00882B6A"/>
    <w:rsid w:val="00887B87"/>
    <w:rsid w:val="008A6E5F"/>
    <w:rsid w:val="008A7DE8"/>
    <w:rsid w:val="008B2FEB"/>
    <w:rsid w:val="008B7F77"/>
    <w:rsid w:val="008C1882"/>
    <w:rsid w:val="008C3A29"/>
    <w:rsid w:val="008C7652"/>
    <w:rsid w:val="008D1F92"/>
    <w:rsid w:val="008E421D"/>
    <w:rsid w:val="008E7CBB"/>
    <w:rsid w:val="008F147C"/>
    <w:rsid w:val="00906541"/>
    <w:rsid w:val="009107D0"/>
    <w:rsid w:val="00915E3D"/>
    <w:rsid w:val="0091635F"/>
    <w:rsid w:val="00920246"/>
    <w:rsid w:val="00921F34"/>
    <w:rsid w:val="009277DF"/>
    <w:rsid w:val="0094087C"/>
    <w:rsid w:val="00940D3D"/>
    <w:rsid w:val="00941A40"/>
    <w:rsid w:val="00954CBE"/>
    <w:rsid w:val="00962F39"/>
    <w:rsid w:val="0096741B"/>
    <w:rsid w:val="009721A0"/>
    <w:rsid w:val="00972FBF"/>
    <w:rsid w:val="00976BF2"/>
    <w:rsid w:val="0098031D"/>
    <w:rsid w:val="00980706"/>
    <w:rsid w:val="00980D1C"/>
    <w:rsid w:val="00983CC5"/>
    <w:rsid w:val="009923AF"/>
    <w:rsid w:val="00992AF3"/>
    <w:rsid w:val="00993561"/>
    <w:rsid w:val="00996142"/>
    <w:rsid w:val="009A1480"/>
    <w:rsid w:val="009A56F8"/>
    <w:rsid w:val="009B2DD7"/>
    <w:rsid w:val="009B3D8B"/>
    <w:rsid w:val="009B53CE"/>
    <w:rsid w:val="009C51C8"/>
    <w:rsid w:val="009C5379"/>
    <w:rsid w:val="009D0092"/>
    <w:rsid w:val="009D6A2F"/>
    <w:rsid w:val="009D6F4D"/>
    <w:rsid w:val="009E6A73"/>
    <w:rsid w:val="009E765B"/>
    <w:rsid w:val="009F0297"/>
    <w:rsid w:val="009F22BB"/>
    <w:rsid w:val="009F3C78"/>
    <w:rsid w:val="009F58CE"/>
    <w:rsid w:val="00A026D0"/>
    <w:rsid w:val="00A028B3"/>
    <w:rsid w:val="00A02AD3"/>
    <w:rsid w:val="00A02C84"/>
    <w:rsid w:val="00A02D19"/>
    <w:rsid w:val="00A14851"/>
    <w:rsid w:val="00A211BE"/>
    <w:rsid w:val="00A26615"/>
    <w:rsid w:val="00A301EA"/>
    <w:rsid w:val="00A312AF"/>
    <w:rsid w:val="00A32DBE"/>
    <w:rsid w:val="00A35107"/>
    <w:rsid w:val="00A3534D"/>
    <w:rsid w:val="00A407B1"/>
    <w:rsid w:val="00A4517A"/>
    <w:rsid w:val="00A478E3"/>
    <w:rsid w:val="00A47B2B"/>
    <w:rsid w:val="00A53DC2"/>
    <w:rsid w:val="00A56A78"/>
    <w:rsid w:val="00A56D0E"/>
    <w:rsid w:val="00A60492"/>
    <w:rsid w:val="00A65BCC"/>
    <w:rsid w:val="00A70DBF"/>
    <w:rsid w:val="00A778D5"/>
    <w:rsid w:val="00A81873"/>
    <w:rsid w:val="00A819EA"/>
    <w:rsid w:val="00A82249"/>
    <w:rsid w:val="00A85431"/>
    <w:rsid w:val="00A927AE"/>
    <w:rsid w:val="00A95ECA"/>
    <w:rsid w:val="00AA77CA"/>
    <w:rsid w:val="00AB051D"/>
    <w:rsid w:val="00AB1174"/>
    <w:rsid w:val="00AB16C1"/>
    <w:rsid w:val="00AB2048"/>
    <w:rsid w:val="00AB70C8"/>
    <w:rsid w:val="00AC6915"/>
    <w:rsid w:val="00AD4700"/>
    <w:rsid w:val="00AD4EF4"/>
    <w:rsid w:val="00AD719E"/>
    <w:rsid w:val="00AE29CE"/>
    <w:rsid w:val="00B023D5"/>
    <w:rsid w:val="00B02956"/>
    <w:rsid w:val="00B05F4A"/>
    <w:rsid w:val="00B06C8F"/>
    <w:rsid w:val="00B1370A"/>
    <w:rsid w:val="00B1671D"/>
    <w:rsid w:val="00B179FB"/>
    <w:rsid w:val="00B21AEE"/>
    <w:rsid w:val="00B22964"/>
    <w:rsid w:val="00B252FA"/>
    <w:rsid w:val="00B25E3B"/>
    <w:rsid w:val="00B27742"/>
    <w:rsid w:val="00B32F2F"/>
    <w:rsid w:val="00B42618"/>
    <w:rsid w:val="00B442B9"/>
    <w:rsid w:val="00B46AEA"/>
    <w:rsid w:val="00B55A67"/>
    <w:rsid w:val="00B6070F"/>
    <w:rsid w:val="00B616A7"/>
    <w:rsid w:val="00B67FDD"/>
    <w:rsid w:val="00B721E2"/>
    <w:rsid w:val="00B73887"/>
    <w:rsid w:val="00B748D6"/>
    <w:rsid w:val="00B845B6"/>
    <w:rsid w:val="00B938AF"/>
    <w:rsid w:val="00BA11A7"/>
    <w:rsid w:val="00BB03BA"/>
    <w:rsid w:val="00BB79AA"/>
    <w:rsid w:val="00BC4BDA"/>
    <w:rsid w:val="00BE4493"/>
    <w:rsid w:val="00BE7553"/>
    <w:rsid w:val="00BF0163"/>
    <w:rsid w:val="00BF1074"/>
    <w:rsid w:val="00BF5440"/>
    <w:rsid w:val="00BF5EED"/>
    <w:rsid w:val="00BF775D"/>
    <w:rsid w:val="00C057CC"/>
    <w:rsid w:val="00C06E7C"/>
    <w:rsid w:val="00C07AEF"/>
    <w:rsid w:val="00C11DD0"/>
    <w:rsid w:val="00C12610"/>
    <w:rsid w:val="00C14A7B"/>
    <w:rsid w:val="00C16D3F"/>
    <w:rsid w:val="00C170B9"/>
    <w:rsid w:val="00C20996"/>
    <w:rsid w:val="00C43435"/>
    <w:rsid w:val="00C43735"/>
    <w:rsid w:val="00C4398A"/>
    <w:rsid w:val="00C4795A"/>
    <w:rsid w:val="00C545D1"/>
    <w:rsid w:val="00C620D4"/>
    <w:rsid w:val="00C6577D"/>
    <w:rsid w:val="00C675BE"/>
    <w:rsid w:val="00C708FB"/>
    <w:rsid w:val="00C727C3"/>
    <w:rsid w:val="00C764A5"/>
    <w:rsid w:val="00C8250E"/>
    <w:rsid w:val="00C83C86"/>
    <w:rsid w:val="00C8487A"/>
    <w:rsid w:val="00C902F5"/>
    <w:rsid w:val="00C90843"/>
    <w:rsid w:val="00C9443D"/>
    <w:rsid w:val="00C955E8"/>
    <w:rsid w:val="00C96A12"/>
    <w:rsid w:val="00C97304"/>
    <w:rsid w:val="00C97CB0"/>
    <w:rsid w:val="00CA0A2D"/>
    <w:rsid w:val="00CB2F9A"/>
    <w:rsid w:val="00CC17CB"/>
    <w:rsid w:val="00CC51EC"/>
    <w:rsid w:val="00CC70A5"/>
    <w:rsid w:val="00CC7BC0"/>
    <w:rsid w:val="00CD3A7D"/>
    <w:rsid w:val="00CD4D7C"/>
    <w:rsid w:val="00CE0067"/>
    <w:rsid w:val="00CE262B"/>
    <w:rsid w:val="00CF47EE"/>
    <w:rsid w:val="00D01872"/>
    <w:rsid w:val="00D01E78"/>
    <w:rsid w:val="00D0285D"/>
    <w:rsid w:val="00D10DA3"/>
    <w:rsid w:val="00D13B4A"/>
    <w:rsid w:val="00D13F87"/>
    <w:rsid w:val="00D31194"/>
    <w:rsid w:val="00D36BBC"/>
    <w:rsid w:val="00D40FCF"/>
    <w:rsid w:val="00D519A5"/>
    <w:rsid w:val="00D54872"/>
    <w:rsid w:val="00D56A0C"/>
    <w:rsid w:val="00D5742C"/>
    <w:rsid w:val="00D61974"/>
    <w:rsid w:val="00D61C05"/>
    <w:rsid w:val="00D624A4"/>
    <w:rsid w:val="00D70885"/>
    <w:rsid w:val="00D71BB9"/>
    <w:rsid w:val="00D73A57"/>
    <w:rsid w:val="00D76B83"/>
    <w:rsid w:val="00D9272B"/>
    <w:rsid w:val="00D9500C"/>
    <w:rsid w:val="00D95727"/>
    <w:rsid w:val="00DA1318"/>
    <w:rsid w:val="00DA3BC4"/>
    <w:rsid w:val="00DB6F2E"/>
    <w:rsid w:val="00DC33C9"/>
    <w:rsid w:val="00DC7108"/>
    <w:rsid w:val="00DD08B3"/>
    <w:rsid w:val="00DD6C90"/>
    <w:rsid w:val="00DD6CBD"/>
    <w:rsid w:val="00DD7907"/>
    <w:rsid w:val="00DE05AF"/>
    <w:rsid w:val="00DE1F4B"/>
    <w:rsid w:val="00DE6D52"/>
    <w:rsid w:val="00DE7188"/>
    <w:rsid w:val="00DF0002"/>
    <w:rsid w:val="00DF4171"/>
    <w:rsid w:val="00DF4EB5"/>
    <w:rsid w:val="00DF5EA1"/>
    <w:rsid w:val="00DF6685"/>
    <w:rsid w:val="00DF6D38"/>
    <w:rsid w:val="00E03FE1"/>
    <w:rsid w:val="00E12553"/>
    <w:rsid w:val="00E13019"/>
    <w:rsid w:val="00E20034"/>
    <w:rsid w:val="00E212B5"/>
    <w:rsid w:val="00E25111"/>
    <w:rsid w:val="00E27A9A"/>
    <w:rsid w:val="00E31707"/>
    <w:rsid w:val="00E319C1"/>
    <w:rsid w:val="00E336A6"/>
    <w:rsid w:val="00E349FC"/>
    <w:rsid w:val="00E35D34"/>
    <w:rsid w:val="00E46B2E"/>
    <w:rsid w:val="00E62572"/>
    <w:rsid w:val="00E64230"/>
    <w:rsid w:val="00E67E37"/>
    <w:rsid w:val="00E70390"/>
    <w:rsid w:val="00E71E07"/>
    <w:rsid w:val="00E729ED"/>
    <w:rsid w:val="00E757FE"/>
    <w:rsid w:val="00E76622"/>
    <w:rsid w:val="00E909B8"/>
    <w:rsid w:val="00E90AB5"/>
    <w:rsid w:val="00E922B4"/>
    <w:rsid w:val="00E94A9B"/>
    <w:rsid w:val="00E96FAE"/>
    <w:rsid w:val="00EA52DF"/>
    <w:rsid w:val="00EA54BA"/>
    <w:rsid w:val="00EA7167"/>
    <w:rsid w:val="00EB7BC4"/>
    <w:rsid w:val="00EC391E"/>
    <w:rsid w:val="00ED5FF1"/>
    <w:rsid w:val="00ED7C7C"/>
    <w:rsid w:val="00EE7766"/>
    <w:rsid w:val="00EE7D7E"/>
    <w:rsid w:val="00EF15EE"/>
    <w:rsid w:val="00EF6625"/>
    <w:rsid w:val="00EF6EC2"/>
    <w:rsid w:val="00EF7F1D"/>
    <w:rsid w:val="00F0098F"/>
    <w:rsid w:val="00F04F58"/>
    <w:rsid w:val="00F05514"/>
    <w:rsid w:val="00F14797"/>
    <w:rsid w:val="00F15FD5"/>
    <w:rsid w:val="00F25E8B"/>
    <w:rsid w:val="00F35778"/>
    <w:rsid w:val="00F40F20"/>
    <w:rsid w:val="00F41E80"/>
    <w:rsid w:val="00F46685"/>
    <w:rsid w:val="00F46DA4"/>
    <w:rsid w:val="00F5109C"/>
    <w:rsid w:val="00F51292"/>
    <w:rsid w:val="00F542F9"/>
    <w:rsid w:val="00F569A5"/>
    <w:rsid w:val="00F6379E"/>
    <w:rsid w:val="00F6684E"/>
    <w:rsid w:val="00F7085C"/>
    <w:rsid w:val="00F81BC6"/>
    <w:rsid w:val="00F826B7"/>
    <w:rsid w:val="00F910F6"/>
    <w:rsid w:val="00F923B8"/>
    <w:rsid w:val="00F96B35"/>
    <w:rsid w:val="00FA2989"/>
    <w:rsid w:val="00FA3822"/>
    <w:rsid w:val="00FA41EA"/>
    <w:rsid w:val="00FA7D38"/>
    <w:rsid w:val="00FB0F06"/>
    <w:rsid w:val="00FB1063"/>
    <w:rsid w:val="00FB5A0D"/>
    <w:rsid w:val="00FC3DDC"/>
    <w:rsid w:val="00FC40D4"/>
    <w:rsid w:val="00FC785F"/>
    <w:rsid w:val="00FD1AD7"/>
    <w:rsid w:val="00FD1C9E"/>
    <w:rsid w:val="00FD61F6"/>
    <w:rsid w:val="00FE14DF"/>
    <w:rsid w:val="00FE2309"/>
    <w:rsid w:val="00FE38B5"/>
    <w:rsid w:val="00FE57B0"/>
    <w:rsid w:val="00FE7093"/>
    <w:rsid w:val="00FF1552"/>
    <w:rsid w:val="00FF3F2C"/>
    <w:rsid w:val="00FF447D"/>
    <w:rsid w:val="00FF55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BA09E5"/>
  <w15:docId w15:val="{BB34CF84-665E-42B8-8A33-F9B1018D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0AB5"/>
    <w:rPr>
      <w:rFonts w:ascii="Arial" w:hAnsi="Arial" w:cs="Arial"/>
      <w:sz w:val="18"/>
      <w:szCs w:val="24"/>
    </w:rPr>
  </w:style>
  <w:style w:type="paragraph" w:styleId="Kop2">
    <w:name w:val="heading 2"/>
    <w:basedOn w:val="Standaard"/>
    <w:next w:val="Standaard"/>
    <w:link w:val="Kop2Char"/>
    <w:qFormat/>
    <w:rsid w:val="00B73887"/>
    <w:pPr>
      <w:keepNext/>
      <w:spacing w:line="300" w:lineRule="exact"/>
      <w:outlineLvl w:val="1"/>
    </w:pPr>
    <w:rPr>
      <w:b/>
      <w:bCs/>
      <w:color w:val="000000"/>
      <w:szCs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E90AB5"/>
    <w:pPr>
      <w:tabs>
        <w:tab w:val="center" w:pos="4703"/>
        <w:tab w:val="right" w:pos="9406"/>
      </w:tabs>
    </w:pPr>
  </w:style>
  <w:style w:type="paragraph" w:styleId="Voettekst">
    <w:name w:val="footer"/>
    <w:basedOn w:val="Standaard"/>
    <w:link w:val="VoettekstChar"/>
    <w:uiPriority w:val="99"/>
    <w:rsid w:val="00E90AB5"/>
    <w:pPr>
      <w:tabs>
        <w:tab w:val="center" w:pos="4703"/>
        <w:tab w:val="right" w:pos="9406"/>
      </w:tabs>
    </w:pPr>
  </w:style>
  <w:style w:type="paragraph" w:customStyle="1" w:styleId="Hoofdstukkop">
    <w:name w:val="Hoofdstukkop"/>
    <w:basedOn w:val="Standaard"/>
    <w:next w:val="Standaard"/>
    <w:rsid w:val="00E90AB5"/>
    <w:pPr>
      <w:overflowPunct w:val="0"/>
      <w:autoSpaceDE w:val="0"/>
      <w:autoSpaceDN w:val="0"/>
      <w:adjustRightInd w:val="0"/>
      <w:spacing w:line="240" w:lineRule="atLeast"/>
      <w:textAlignment w:val="baseline"/>
    </w:pPr>
    <w:rPr>
      <w:b/>
      <w:caps/>
      <w:spacing w:val="5"/>
      <w:sz w:val="36"/>
      <w:szCs w:val="20"/>
      <w:lang w:val="nl"/>
    </w:rPr>
  </w:style>
  <w:style w:type="paragraph" w:styleId="Plattetekst">
    <w:name w:val="Body Text"/>
    <w:basedOn w:val="Standaard"/>
    <w:link w:val="PlattetekstChar"/>
    <w:semiHidden/>
    <w:rsid w:val="00E90AB5"/>
    <w:pPr>
      <w:overflowPunct w:val="0"/>
      <w:autoSpaceDE w:val="0"/>
      <w:autoSpaceDN w:val="0"/>
      <w:adjustRightInd w:val="0"/>
      <w:spacing w:before="4" w:line="220" w:lineRule="exact"/>
      <w:jc w:val="both"/>
      <w:textAlignment w:val="baseline"/>
    </w:pPr>
    <w:rPr>
      <w:rFonts w:ascii="Book Antiqua" w:hAnsi="Book Antiqua"/>
      <w:spacing w:val="5"/>
      <w:lang w:val="nl"/>
    </w:rPr>
  </w:style>
  <w:style w:type="paragraph" w:styleId="Ballontekst">
    <w:name w:val="Balloon Text"/>
    <w:basedOn w:val="Standaard"/>
    <w:link w:val="BallontekstChar"/>
    <w:uiPriority w:val="99"/>
    <w:semiHidden/>
    <w:unhideWhenUsed/>
    <w:rsid w:val="006D1925"/>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925"/>
    <w:rPr>
      <w:rFonts w:ascii="Tahoma" w:hAnsi="Tahoma" w:cs="Tahoma"/>
      <w:sz w:val="16"/>
      <w:szCs w:val="16"/>
    </w:rPr>
  </w:style>
  <w:style w:type="character" w:customStyle="1" w:styleId="VoettekstChar">
    <w:name w:val="Voettekst Char"/>
    <w:basedOn w:val="Standaardalinea-lettertype"/>
    <w:link w:val="Voettekst"/>
    <w:uiPriority w:val="99"/>
    <w:rsid w:val="00D36BBC"/>
    <w:rPr>
      <w:rFonts w:ascii="Arial" w:hAnsi="Arial" w:cs="Arial"/>
      <w:sz w:val="18"/>
      <w:szCs w:val="24"/>
    </w:rPr>
  </w:style>
  <w:style w:type="table" w:styleId="Gemiddeldraster3-accent5">
    <w:name w:val="Medium Grid 3 Accent 5"/>
    <w:basedOn w:val="Standaardtabel"/>
    <w:uiPriority w:val="69"/>
    <w:rsid w:val="00596F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C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7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7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7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7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8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89FF" w:themeFill="accent5" w:themeFillTint="7F"/>
      </w:tcPr>
    </w:tblStylePr>
  </w:style>
  <w:style w:type="character" w:styleId="Hyperlink">
    <w:name w:val="Hyperlink"/>
    <w:basedOn w:val="Standaardalinea-lettertype"/>
    <w:uiPriority w:val="99"/>
    <w:unhideWhenUsed/>
    <w:rsid w:val="00596FDE"/>
    <w:rPr>
      <w:color w:val="000000" w:themeColor="hyperlink"/>
      <w:u w:val="single"/>
    </w:rPr>
  </w:style>
  <w:style w:type="table" w:customStyle="1" w:styleId="USPNieuwestijlTabel">
    <w:name w:val="USP Nieuwe stijl Tabel"/>
    <w:basedOn w:val="Standaardtabel"/>
    <w:uiPriority w:val="99"/>
    <w:qFormat/>
    <w:rsid w:val="00596FDE"/>
    <w:pPr>
      <w:jc w:val="center"/>
    </w:pPr>
    <w:rPr>
      <w:rFonts w:asciiTheme="minorHAnsi" w:eastAsiaTheme="minorHAnsi" w:hAnsiTheme="minorHAnsi" w:cstheme="minorBidi"/>
      <w:szCs w:val="22"/>
      <w:lang w:val="en-US" w:eastAsia="en-US"/>
    </w:rPr>
    <w:tblPr>
      <w:tblStyleRowBandSize w:val="1"/>
      <w:tblStyleColBandSize w:val="1"/>
      <w:tblBorders>
        <w:top w:val="single" w:sz="24" w:space="0" w:color="003180" w:themeColor="accent4" w:themeShade="80"/>
        <w:left w:val="single" w:sz="24" w:space="0" w:color="003180" w:themeColor="accent4" w:themeShade="80"/>
        <w:bottom w:val="single" w:sz="24" w:space="0" w:color="003180" w:themeColor="accent4" w:themeShade="80"/>
        <w:right w:val="single" w:sz="24" w:space="0" w:color="003180" w:themeColor="accent4" w:themeShade="80"/>
        <w:insideH w:val="single" w:sz="8" w:space="0" w:color="FFFFFF" w:themeColor="background1"/>
        <w:insideV w:val="single" w:sz="8" w:space="0" w:color="FFFFFF" w:themeColor="background1"/>
      </w:tblBorders>
      <w:tblCellMar>
        <w:top w:w="74" w:type="dxa"/>
        <w:left w:w="142" w:type="dxa"/>
        <w:bottom w:w="74" w:type="dxa"/>
        <w:right w:w="142" w:type="dxa"/>
      </w:tblCellMar>
    </w:tblPr>
    <w:tcPr>
      <w:vAlign w:val="center"/>
    </w:tcPr>
    <w:tblStylePr w:type="firstRow">
      <w:rPr>
        <w:b/>
      </w:rPr>
      <w:tblPr/>
      <w:tcPr>
        <w:tcBorders>
          <w:top w:val="nil"/>
          <w:left w:val="single" w:sz="24" w:space="0" w:color="003180" w:themeColor="accent4" w:themeShade="80"/>
          <w:bottom w:val="single" w:sz="18" w:space="0" w:color="FFFFFF" w:themeColor="background1"/>
          <w:right w:val="single" w:sz="24" w:space="0" w:color="003180" w:themeColor="accent4" w:themeShade="80"/>
          <w:insideH w:val="nil"/>
          <w:insideV w:val="single" w:sz="18" w:space="0" w:color="FFFFFF" w:themeColor="background1"/>
          <w:tl2br w:val="nil"/>
          <w:tr2bl w:val="nil"/>
        </w:tcBorders>
        <w:shd w:val="clear" w:color="auto" w:fill="003180" w:themeFill="accent4" w:themeFillShade="80"/>
      </w:tcPr>
    </w:tblStylePr>
    <w:tblStylePr w:type="lastRow">
      <w:tblPr/>
      <w:tcPr>
        <w:tcBorders>
          <w:bottom w:val="single" w:sz="24" w:space="0" w:color="003180" w:themeColor="accent4" w:themeShade="80"/>
        </w:tcBorders>
      </w:tcPr>
    </w:tblStylePr>
    <w:tblStylePr w:type="firstCol">
      <w:pPr>
        <w:jc w:val="left"/>
      </w:pPr>
      <w:tblPr/>
      <w:tcPr>
        <w:shd w:val="clear" w:color="auto" w:fill="003180" w:themeFill="accent4" w:themeFillShade="80"/>
      </w:tcPr>
    </w:tblStylePr>
    <w:tblStylePr w:type="band1Horz">
      <w:tblPr/>
      <w:tcPr>
        <w:shd w:val="clear" w:color="auto" w:fill="E7E8EC"/>
      </w:tcPr>
    </w:tblStylePr>
    <w:tblStylePr w:type="band2Horz">
      <w:tblPr/>
      <w:tcPr>
        <w:shd w:val="clear" w:color="auto" w:fill="CBCDD8"/>
      </w:tcPr>
    </w:tblStylePr>
  </w:style>
  <w:style w:type="character" w:customStyle="1" w:styleId="Kop2Char">
    <w:name w:val="Kop 2 Char"/>
    <w:basedOn w:val="Standaardalinea-lettertype"/>
    <w:link w:val="Kop2"/>
    <w:rsid w:val="00B73887"/>
    <w:rPr>
      <w:rFonts w:ascii="Arial" w:hAnsi="Arial" w:cs="Arial"/>
      <w:b/>
      <w:bCs/>
      <w:color w:val="000000"/>
      <w:sz w:val="18"/>
      <w:szCs w:val="14"/>
    </w:rPr>
  </w:style>
  <w:style w:type="paragraph" w:styleId="Normaalweb">
    <w:name w:val="Normal (Web)"/>
    <w:basedOn w:val="Standaard"/>
    <w:uiPriority w:val="99"/>
    <w:unhideWhenUsed/>
    <w:rsid w:val="003D264C"/>
    <w:pPr>
      <w:spacing w:before="100" w:beforeAutospacing="1" w:after="100" w:afterAutospacing="1"/>
    </w:pPr>
    <w:rPr>
      <w:rFonts w:ascii="Times New Roman" w:hAnsi="Times New Roman" w:cs="Times New Roman"/>
      <w:sz w:val="24"/>
    </w:rPr>
  </w:style>
  <w:style w:type="character" w:customStyle="1" w:styleId="PlattetekstChar">
    <w:name w:val="Platte tekst Char"/>
    <w:basedOn w:val="Standaardalinea-lettertype"/>
    <w:link w:val="Plattetekst"/>
    <w:semiHidden/>
    <w:rsid w:val="003D264C"/>
    <w:rPr>
      <w:rFonts w:ascii="Book Antiqua" w:hAnsi="Book Antiqua" w:cs="Arial"/>
      <w:spacing w:val="5"/>
      <w:sz w:val="18"/>
      <w:szCs w:val="24"/>
      <w:lang w:val="nl"/>
    </w:rPr>
  </w:style>
  <w:style w:type="paragraph" w:styleId="Lijstalinea">
    <w:name w:val="List Paragraph"/>
    <w:basedOn w:val="Standaard"/>
    <w:uiPriority w:val="34"/>
    <w:qFormat/>
    <w:rsid w:val="00F35778"/>
    <w:pPr>
      <w:ind w:left="720"/>
      <w:contextualSpacing/>
    </w:pPr>
  </w:style>
  <w:style w:type="character" w:customStyle="1" w:styleId="KoptekstChar">
    <w:name w:val="Koptekst Char"/>
    <w:basedOn w:val="Standaardalinea-lettertype"/>
    <w:link w:val="Koptekst"/>
    <w:semiHidden/>
    <w:locked/>
    <w:rsid w:val="000B43FA"/>
    <w:rPr>
      <w:rFonts w:ascii="Arial" w:hAnsi="Arial" w:cs="Arial"/>
      <w:sz w:val="18"/>
      <w:szCs w:val="24"/>
    </w:rPr>
  </w:style>
  <w:style w:type="character" w:styleId="GevolgdeHyperlink">
    <w:name w:val="FollowedHyperlink"/>
    <w:basedOn w:val="Standaardalinea-lettertype"/>
    <w:uiPriority w:val="99"/>
    <w:semiHidden/>
    <w:unhideWhenUsed/>
    <w:rsid w:val="006A3C25"/>
    <w:rPr>
      <w:color w:val="000000" w:themeColor="followedHyperlink"/>
      <w:u w:val="single"/>
    </w:rPr>
  </w:style>
  <w:style w:type="character" w:styleId="Tekstvantijdelijkeaanduiding">
    <w:name w:val="Placeholder Text"/>
    <w:basedOn w:val="Standaardalinea-lettertype"/>
    <w:uiPriority w:val="99"/>
    <w:semiHidden/>
    <w:rsid w:val="00C43435"/>
    <w:rPr>
      <w:color w:val="808080"/>
    </w:rPr>
  </w:style>
  <w:style w:type="paragraph" w:styleId="Geenafstand">
    <w:name w:val="No Spacing"/>
    <w:uiPriority w:val="1"/>
    <w:qFormat/>
    <w:rsid w:val="00556048"/>
    <w:rPr>
      <w:rFonts w:asciiTheme="minorHAnsi" w:eastAsiaTheme="minorHAnsi" w:hAnsiTheme="minorHAnsi" w:cstheme="minorBidi"/>
      <w:sz w:val="22"/>
      <w:szCs w:val="22"/>
      <w:lang w:val="en-GB" w:eastAsia="en-US"/>
    </w:rPr>
  </w:style>
  <w:style w:type="character" w:styleId="Onopgelostemelding">
    <w:name w:val="Unresolved Mention"/>
    <w:basedOn w:val="Standaardalinea-lettertype"/>
    <w:uiPriority w:val="99"/>
    <w:semiHidden/>
    <w:unhideWhenUsed/>
    <w:rsid w:val="0054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2633">
      <w:bodyDiv w:val="1"/>
      <w:marLeft w:val="0"/>
      <w:marRight w:val="0"/>
      <w:marTop w:val="0"/>
      <w:marBottom w:val="0"/>
      <w:divBdr>
        <w:top w:val="none" w:sz="0" w:space="0" w:color="auto"/>
        <w:left w:val="none" w:sz="0" w:space="0" w:color="auto"/>
        <w:bottom w:val="none" w:sz="0" w:space="0" w:color="auto"/>
        <w:right w:val="none" w:sz="0" w:space="0" w:color="auto"/>
      </w:divBdr>
      <w:divsChild>
        <w:div w:id="1965381236">
          <w:marLeft w:val="547"/>
          <w:marRight w:val="0"/>
          <w:marTop w:val="0"/>
          <w:marBottom w:val="0"/>
          <w:divBdr>
            <w:top w:val="none" w:sz="0" w:space="0" w:color="auto"/>
            <w:left w:val="none" w:sz="0" w:space="0" w:color="auto"/>
            <w:bottom w:val="none" w:sz="0" w:space="0" w:color="auto"/>
            <w:right w:val="none" w:sz="0" w:space="0" w:color="auto"/>
          </w:divBdr>
        </w:div>
        <w:div w:id="1186138453">
          <w:marLeft w:val="547"/>
          <w:marRight w:val="0"/>
          <w:marTop w:val="0"/>
          <w:marBottom w:val="0"/>
          <w:divBdr>
            <w:top w:val="none" w:sz="0" w:space="0" w:color="auto"/>
            <w:left w:val="none" w:sz="0" w:space="0" w:color="auto"/>
            <w:bottom w:val="none" w:sz="0" w:space="0" w:color="auto"/>
            <w:right w:val="none" w:sz="0" w:space="0" w:color="auto"/>
          </w:divBdr>
        </w:div>
      </w:divsChild>
    </w:div>
    <w:div w:id="264921920">
      <w:bodyDiv w:val="1"/>
      <w:marLeft w:val="0"/>
      <w:marRight w:val="0"/>
      <w:marTop w:val="0"/>
      <w:marBottom w:val="0"/>
      <w:divBdr>
        <w:top w:val="none" w:sz="0" w:space="0" w:color="auto"/>
        <w:left w:val="none" w:sz="0" w:space="0" w:color="auto"/>
        <w:bottom w:val="none" w:sz="0" w:space="0" w:color="auto"/>
        <w:right w:val="none" w:sz="0" w:space="0" w:color="auto"/>
      </w:divBdr>
    </w:div>
    <w:div w:id="372391128">
      <w:bodyDiv w:val="1"/>
      <w:marLeft w:val="0"/>
      <w:marRight w:val="0"/>
      <w:marTop w:val="0"/>
      <w:marBottom w:val="0"/>
      <w:divBdr>
        <w:top w:val="none" w:sz="0" w:space="0" w:color="auto"/>
        <w:left w:val="none" w:sz="0" w:space="0" w:color="auto"/>
        <w:bottom w:val="none" w:sz="0" w:space="0" w:color="auto"/>
        <w:right w:val="none" w:sz="0" w:space="0" w:color="auto"/>
      </w:divBdr>
    </w:div>
    <w:div w:id="578490226">
      <w:bodyDiv w:val="1"/>
      <w:marLeft w:val="0"/>
      <w:marRight w:val="0"/>
      <w:marTop w:val="0"/>
      <w:marBottom w:val="0"/>
      <w:divBdr>
        <w:top w:val="none" w:sz="0" w:space="0" w:color="auto"/>
        <w:left w:val="none" w:sz="0" w:space="0" w:color="auto"/>
        <w:bottom w:val="none" w:sz="0" w:space="0" w:color="auto"/>
        <w:right w:val="none" w:sz="0" w:space="0" w:color="auto"/>
      </w:divBdr>
      <w:divsChild>
        <w:div w:id="923687772">
          <w:marLeft w:val="547"/>
          <w:marRight w:val="0"/>
          <w:marTop w:val="0"/>
          <w:marBottom w:val="0"/>
          <w:divBdr>
            <w:top w:val="none" w:sz="0" w:space="0" w:color="auto"/>
            <w:left w:val="none" w:sz="0" w:space="0" w:color="auto"/>
            <w:bottom w:val="none" w:sz="0" w:space="0" w:color="auto"/>
            <w:right w:val="none" w:sz="0" w:space="0" w:color="auto"/>
          </w:divBdr>
        </w:div>
        <w:div w:id="50928492">
          <w:marLeft w:val="547"/>
          <w:marRight w:val="0"/>
          <w:marTop w:val="0"/>
          <w:marBottom w:val="0"/>
          <w:divBdr>
            <w:top w:val="none" w:sz="0" w:space="0" w:color="auto"/>
            <w:left w:val="none" w:sz="0" w:space="0" w:color="auto"/>
            <w:bottom w:val="none" w:sz="0" w:space="0" w:color="auto"/>
            <w:right w:val="none" w:sz="0" w:space="0" w:color="auto"/>
          </w:divBdr>
        </w:div>
        <w:div w:id="197745732">
          <w:marLeft w:val="547"/>
          <w:marRight w:val="0"/>
          <w:marTop w:val="0"/>
          <w:marBottom w:val="0"/>
          <w:divBdr>
            <w:top w:val="none" w:sz="0" w:space="0" w:color="auto"/>
            <w:left w:val="none" w:sz="0" w:space="0" w:color="auto"/>
            <w:bottom w:val="none" w:sz="0" w:space="0" w:color="auto"/>
            <w:right w:val="none" w:sz="0" w:space="0" w:color="auto"/>
          </w:divBdr>
        </w:div>
        <w:div w:id="957297760">
          <w:marLeft w:val="547"/>
          <w:marRight w:val="0"/>
          <w:marTop w:val="0"/>
          <w:marBottom w:val="0"/>
          <w:divBdr>
            <w:top w:val="none" w:sz="0" w:space="0" w:color="auto"/>
            <w:left w:val="none" w:sz="0" w:space="0" w:color="auto"/>
            <w:bottom w:val="none" w:sz="0" w:space="0" w:color="auto"/>
            <w:right w:val="none" w:sz="0" w:space="0" w:color="auto"/>
          </w:divBdr>
        </w:div>
        <w:div w:id="1785343483">
          <w:marLeft w:val="547"/>
          <w:marRight w:val="0"/>
          <w:marTop w:val="0"/>
          <w:marBottom w:val="0"/>
          <w:divBdr>
            <w:top w:val="none" w:sz="0" w:space="0" w:color="auto"/>
            <w:left w:val="none" w:sz="0" w:space="0" w:color="auto"/>
            <w:bottom w:val="none" w:sz="0" w:space="0" w:color="auto"/>
            <w:right w:val="none" w:sz="0" w:space="0" w:color="auto"/>
          </w:divBdr>
        </w:div>
        <w:div w:id="2073959711">
          <w:marLeft w:val="547"/>
          <w:marRight w:val="0"/>
          <w:marTop w:val="0"/>
          <w:marBottom w:val="0"/>
          <w:divBdr>
            <w:top w:val="none" w:sz="0" w:space="0" w:color="auto"/>
            <w:left w:val="none" w:sz="0" w:space="0" w:color="auto"/>
            <w:bottom w:val="none" w:sz="0" w:space="0" w:color="auto"/>
            <w:right w:val="none" w:sz="0" w:space="0" w:color="auto"/>
          </w:divBdr>
        </w:div>
        <w:div w:id="1117991865">
          <w:marLeft w:val="547"/>
          <w:marRight w:val="0"/>
          <w:marTop w:val="0"/>
          <w:marBottom w:val="0"/>
          <w:divBdr>
            <w:top w:val="none" w:sz="0" w:space="0" w:color="auto"/>
            <w:left w:val="none" w:sz="0" w:space="0" w:color="auto"/>
            <w:bottom w:val="none" w:sz="0" w:space="0" w:color="auto"/>
            <w:right w:val="none" w:sz="0" w:space="0" w:color="auto"/>
          </w:divBdr>
        </w:div>
        <w:div w:id="1604221454">
          <w:marLeft w:val="547"/>
          <w:marRight w:val="0"/>
          <w:marTop w:val="0"/>
          <w:marBottom w:val="0"/>
          <w:divBdr>
            <w:top w:val="none" w:sz="0" w:space="0" w:color="auto"/>
            <w:left w:val="none" w:sz="0" w:space="0" w:color="auto"/>
            <w:bottom w:val="none" w:sz="0" w:space="0" w:color="auto"/>
            <w:right w:val="none" w:sz="0" w:space="0" w:color="auto"/>
          </w:divBdr>
        </w:div>
        <w:div w:id="138504359">
          <w:marLeft w:val="547"/>
          <w:marRight w:val="0"/>
          <w:marTop w:val="0"/>
          <w:marBottom w:val="0"/>
          <w:divBdr>
            <w:top w:val="none" w:sz="0" w:space="0" w:color="auto"/>
            <w:left w:val="none" w:sz="0" w:space="0" w:color="auto"/>
            <w:bottom w:val="none" w:sz="0" w:space="0" w:color="auto"/>
            <w:right w:val="none" w:sz="0" w:space="0" w:color="auto"/>
          </w:divBdr>
        </w:div>
        <w:div w:id="1660764556">
          <w:marLeft w:val="547"/>
          <w:marRight w:val="0"/>
          <w:marTop w:val="0"/>
          <w:marBottom w:val="0"/>
          <w:divBdr>
            <w:top w:val="none" w:sz="0" w:space="0" w:color="auto"/>
            <w:left w:val="none" w:sz="0" w:space="0" w:color="auto"/>
            <w:bottom w:val="none" w:sz="0" w:space="0" w:color="auto"/>
            <w:right w:val="none" w:sz="0" w:space="0" w:color="auto"/>
          </w:divBdr>
        </w:div>
      </w:divsChild>
    </w:div>
    <w:div w:id="850528038">
      <w:bodyDiv w:val="1"/>
      <w:marLeft w:val="0"/>
      <w:marRight w:val="0"/>
      <w:marTop w:val="0"/>
      <w:marBottom w:val="0"/>
      <w:divBdr>
        <w:top w:val="none" w:sz="0" w:space="0" w:color="auto"/>
        <w:left w:val="none" w:sz="0" w:space="0" w:color="auto"/>
        <w:bottom w:val="none" w:sz="0" w:space="0" w:color="auto"/>
        <w:right w:val="none" w:sz="0" w:space="0" w:color="auto"/>
      </w:divBdr>
    </w:div>
    <w:div w:id="1040589522">
      <w:bodyDiv w:val="1"/>
      <w:marLeft w:val="0"/>
      <w:marRight w:val="0"/>
      <w:marTop w:val="0"/>
      <w:marBottom w:val="0"/>
      <w:divBdr>
        <w:top w:val="none" w:sz="0" w:space="0" w:color="auto"/>
        <w:left w:val="none" w:sz="0" w:space="0" w:color="auto"/>
        <w:bottom w:val="none" w:sz="0" w:space="0" w:color="auto"/>
        <w:right w:val="none" w:sz="0" w:space="0" w:color="auto"/>
      </w:divBdr>
    </w:div>
    <w:div w:id="1349870301">
      <w:bodyDiv w:val="1"/>
      <w:marLeft w:val="0"/>
      <w:marRight w:val="0"/>
      <w:marTop w:val="0"/>
      <w:marBottom w:val="0"/>
      <w:divBdr>
        <w:top w:val="none" w:sz="0" w:space="0" w:color="auto"/>
        <w:left w:val="none" w:sz="0" w:space="0" w:color="auto"/>
        <w:bottom w:val="none" w:sz="0" w:space="0" w:color="auto"/>
        <w:right w:val="none" w:sz="0" w:space="0" w:color="auto"/>
      </w:divBdr>
    </w:div>
    <w:div w:id="1383940586">
      <w:bodyDiv w:val="1"/>
      <w:marLeft w:val="0"/>
      <w:marRight w:val="0"/>
      <w:marTop w:val="0"/>
      <w:marBottom w:val="0"/>
      <w:divBdr>
        <w:top w:val="none" w:sz="0" w:space="0" w:color="auto"/>
        <w:left w:val="none" w:sz="0" w:space="0" w:color="auto"/>
        <w:bottom w:val="none" w:sz="0" w:space="0" w:color="auto"/>
        <w:right w:val="none" w:sz="0" w:space="0" w:color="auto"/>
      </w:divBdr>
    </w:div>
    <w:div w:id="1817599139">
      <w:bodyDiv w:val="1"/>
      <w:marLeft w:val="0"/>
      <w:marRight w:val="0"/>
      <w:marTop w:val="0"/>
      <w:marBottom w:val="0"/>
      <w:divBdr>
        <w:top w:val="none" w:sz="0" w:space="0" w:color="auto"/>
        <w:left w:val="none" w:sz="0" w:space="0" w:color="auto"/>
        <w:bottom w:val="none" w:sz="0" w:space="0" w:color="auto"/>
        <w:right w:val="none" w:sz="0" w:space="0" w:color="auto"/>
      </w:divBdr>
      <w:divsChild>
        <w:div w:id="967396193">
          <w:marLeft w:val="288"/>
          <w:marRight w:val="0"/>
          <w:marTop w:val="40"/>
          <w:marBottom w:val="40"/>
          <w:divBdr>
            <w:top w:val="none" w:sz="0" w:space="0" w:color="auto"/>
            <w:left w:val="none" w:sz="0" w:space="0" w:color="auto"/>
            <w:bottom w:val="none" w:sz="0" w:space="0" w:color="auto"/>
            <w:right w:val="none" w:sz="0" w:space="0" w:color="auto"/>
          </w:divBdr>
        </w:div>
        <w:div w:id="209851151">
          <w:marLeft w:val="288"/>
          <w:marRight w:val="0"/>
          <w:marTop w:val="40"/>
          <w:marBottom w:val="40"/>
          <w:divBdr>
            <w:top w:val="none" w:sz="0" w:space="0" w:color="auto"/>
            <w:left w:val="none" w:sz="0" w:space="0" w:color="auto"/>
            <w:bottom w:val="none" w:sz="0" w:space="0" w:color="auto"/>
            <w:right w:val="none" w:sz="0" w:space="0" w:color="auto"/>
          </w:divBdr>
        </w:div>
        <w:div w:id="2036153243">
          <w:marLeft w:val="288"/>
          <w:marRight w:val="0"/>
          <w:marTop w:val="40"/>
          <w:marBottom w:val="40"/>
          <w:divBdr>
            <w:top w:val="none" w:sz="0" w:space="0" w:color="auto"/>
            <w:left w:val="none" w:sz="0" w:space="0" w:color="auto"/>
            <w:bottom w:val="none" w:sz="0" w:space="0" w:color="auto"/>
            <w:right w:val="none" w:sz="0" w:space="0" w:color="auto"/>
          </w:divBdr>
        </w:div>
        <w:div w:id="747921995">
          <w:marLeft w:val="288"/>
          <w:marRight w:val="0"/>
          <w:marTop w:val="40"/>
          <w:marBottom w:val="40"/>
          <w:divBdr>
            <w:top w:val="none" w:sz="0" w:space="0" w:color="auto"/>
            <w:left w:val="none" w:sz="0" w:space="0" w:color="auto"/>
            <w:bottom w:val="none" w:sz="0" w:space="0" w:color="auto"/>
            <w:right w:val="none" w:sz="0" w:space="0" w:color="auto"/>
          </w:divBdr>
        </w:div>
      </w:divsChild>
    </w:div>
    <w:div w:id="20010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Gruijl@usp-m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Gruijl@usp-mc.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ThemaUSP_inprogress">
  <a:themeElements>
    <a:clrScheme name="Definitief kleuren USP 2010">
      <a:dk1>
        <a:srgbClr val="000000"/>
      </a:dk1>
      <a:lt1>
        <a:srgbClr val="FFFFFF"/>
      </a:lt1>
      <a:dk2>
        <a:srgbClr val="000000"/>
      </a:dk2>
      <a:lt2>
        <a:srgbClr val="FFFFFF"/>
      </a:lt2>
      <a:accent1>
        <a:srgbClr val="469F00"/>
      </a:accent1>
      <a:accent2>
        <a:srgbClr val="F15C09"/>
      </a:accent2>
      <a:accent3>
        <a:srgbClr val="D81920"/>
      </a:accent3>
      <a:accent4>
        <a:srgbClr val="0063FF"/>
      </a:accent4>
      <a:accent5>
        <a:srgbClr val="00317F"/>
      </a:accent5>
      <a:accent6>
        <a:srgbClr val="000000"/>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5C56-7BDD-48D1-848F-96C42620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633</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Blanco</vt:lpstr>
    </vt:vector>
  </TitlesOfParts>
  <Company>USP</Company>
  <LinksUpToDate>false</LinksUpToDate>
  <CharactersWithSpaces>4350</CharactersWithSpaces>
  <SharedDoc>false</SharedDoc>
  <HLinks>
    <vt:vector size="12" baseType="variant">
      <vt:variant>
        <vt:i4>131137</vt:i4>
      </vt:variant>
      <vt:variant>
        <vt:i4>-1</vt:i4>
      </vt:variant>
      <vt:variant>
        <vt:i4>2049</vt:i4>
      </vt:variant>
      <vt:variant>
        <vt:i4>1</vt:i4>
      </vt:variant>
      <vt:variant>
        <vt:lpwstr>D:\USP\CD\briefpapier\Briefpapier header.jpg</vt:lpwstr>
      </vt:variant>
      <vt:variant>
        <vt:lpwstr/>
      </vt:variant>
      <vt:variant>
        <vt:i4>131137</vt:i4>
      </vt:variant>
      <vt:variant>
        <vt:i4>-1</vt:i4>
      </vt:variant>
      <vt:variant>
        <vt:i4>2053</vt:i4>
      </vt:variant>
      <vt:variant>
        <vt:i4>1</vt:i4>
      </vt:variant>
      <vt:variant>
        <vt:lpwstr>D:\USP\CD\briefpapier\Briefpapier header.jpg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subject/>
  <dc:creator>Bas Venema</dc:creator>
  <cp:keywords/>
  <dc:description/>
  <cp:lastModifiedBy>Melissa Wullems | Bouwstijl Media</cp:lastModifiedBy>
  <cp:revision>15</cp:revision>
  <cp:lastPrinted>2019-02-04T12:01:00Z</cp:lastPrinted>
  <dcterms:created xsi:type="dcterms:W3CDTF">2021-05-05T18:21:00Z</dcterms:created>
  <dcterms:modified xsi:type="dcterms:W3CDTF">2021-05-21T10:30:00Z</dcterms:modified>
</cp:coreProperties>
</file>